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49C3" w14:textId="77777777" w:rsidR="00E774CF" w:rsidRDefault="00E774CF" w:rsidP="000D493D">
      <w:pPr>
        <w:jc w:val="both"/>
        <w:rPr>
          <w:b/>
        </w:rPr>
      </w:pPr>
    </w:p>
    <w:p w14:paraId="01D04276" w14:textId="538B4E32" w:rsidR="00E774CF" w:rsidRDefault="007F2D0E" w:rsidP="00350E3C">
      <w:pPr>
        <w:pStyle w:val="ListParagraph"/>
        <w:numPr>
          <w:ilvl w:val="0"/>
          <w:numId w:val="2"/>
        </w:numPr>
        <w:ind w:hanging="720"/>
        <w:jc w:val="both"/>
        <w:rPr>
          <w:b/>
        </w:rPr>
      </w:pPr>
      <w:r w:rsidRPr="00585BEF">
        <w:rPr>
          <w:b/>
        </w:rPr>
        <w:t xml:space="preserve">Purpose </w:t>
      </w:r>
    </w:p>
    <w:p w14:paraId="13B443D3" w14:textId="77777777" w:rsidR="00BE6C00" w:rsidRPr="00585BEF" w:rsidRDefault="00BE6C00" w:rsidP="00BE6C00">
      <w:pPr>
        <w:pStyle w:val="ListParagraph"/>
        <w:jc w:val="both"/>
        <w:rPr>
          <w:b/>
        </w:rPr>
      </w:pPr>
    </w:p>
    <w:p w14:paraId="32D3F549" w14:textId="4525200F" w:rsidR="007F2D0E" w:rsidRPr="0060790E" w:rsidRDefault="007F2D0E" w:rsidP="0054170D">
      <w:pPr>
        <w:pStyle w:val="paragraph"/>
        <w:numPr>
          <w:ilvl w:val="0"/>
          <w:numId w:val="4"/>
        </w:numPr>
        <w:spacing w:before="0" w:beforeAutospacing="0" w:after="0" w:afterAutospacing="0"/>
        <w:ind w:left="709" w:hanging="709"/>
        <w:jc w:val="both"/>
        <w:textAlignment w:val="baseline"/>
        <w:rPr>
          <w:rFonts w:ascii="Verdana" w:hAnsi="Verdana" w:cs="Segoe UI"/>
          <w:sz w:val="22"/>
          <w:szCs w:val="22"/>
        </w:rPr>
      </w:pPr>
      <w:r w:rsidRPr="0060790E">
        <w:rPr>
          <w:rStyle w:val="normaltextrun"/>
          <w:rFonts w:ascii="Verdana" w:hAnsi="Verdana"/>
          <w:sz w:val="22"/>
          <w:szCs w:val="22"/>
        </w:rPr>
        <w:t>The Board is collectively responsible for setting the Company’s strategic direction and primary business objectives. It establishes a robust governance framework and ensures that the Company has financial and human resources required to achieve its agreed objectives. </w:t>
      </w:r>
      <w:r w:rsidRPr="0060790E">
        <w:rPr>
          <w:rStyle w:val="eop"/>
          <w:rFonts w:ascii="Verdana" w:hAnsi="Verdana"/>
          <w:sz w:val="22"/>
          <w:szCs w:val="22"/>
        </w:rPr>
        <w:t> </w:t>
      </w:r>
    </w:p>
    <w:p w14:paraId="0875D268" w14:textId="2A338775" w:rsidR="007F2D0E" w:rsidRPr="0060790E" w:rsidRDefault="007F2D0E" w:rsidP="0054170D">
      <w:pPr>
        <w:pStyle w:val="paragraph"/>
        <w:spacing w:before="0" w:beforeAutospacing="0" w:after="0" w:afterAutospacing="0"/>
        <w:ind w:left="709" w:hanging="709"/>
        <w:jc w:val="both"/>
        <w:textAlignment w:val="baseline"/>
        <w:rPr>
          <w:rFonts w:ascii="Verdana" w:hAnsi="Verdana" w:cs="Segoe UI"/>
          <w:sz w:val="22"/>
          <w:szCs w:val="22"/>
        </w:rPr>
      </w:pPr>
    </w:p>
    <w:p w14:paraId="4C4CA819" w14:textId="3AFD217B" w:rsidR="00CE2B9F" w:rsidRPr="009873F3" w:rsidRDefault="00CE2B9F" w:rsidP="0054170D">
      <w:pPr>
        <w:pStyle w:val="paragraph"/>
        <w:numPr>
          <w:ilvl w:val="0"/>
          <w:numId w:val="4"/>
        </w:numPr>
        <w:spacing w:before="0" w:beforeAutospacing="0" w:after="0" w:afterAutospacing="0"/>
        <w:ind w:left="709" w:hanging="709"/>
        <w:jc w:val="both"/>
        <w:textAlignment w:val="baseline"/>
        <w:rPr>
          <w:rFonts w:ascii="Verdana" w:hAnsi="Verdana" w:cs="Segoe UI"/>
          <w:sz w:val="22"/>
          <w:szCs w:val="22"/>
        </w:rPr>
      </w:pPr>
      <w:r>
        <w:rPr>
          <w:rStyle w:val="eop"/>
          <w:rFonts w:ascii="Verdana" w:hAnsi="Verdana"/>
          <w:sz w:val="22"/>
          <w:szCs w:val="22"/>
        </w:rPr>
        <w:t>The Company is required to operate in accordance with the Companies Act 2006, the Company’s Articles of Association (the Articles) and any other applicable and appropriate regulatory requirements. The Company seek</w:t>
      </w:r>
      <w:r w:rsidR="001A05C4">
        <w:rPr>
          <w:rStyle w:val="eop"/>
          <w:rFonts w:ascii="Verdana" w:hAnsi="Verdana"/>
          <w:sz w:val="22"/>
          <w:szCs w:val="22"/>
        </w:rPr>
        <w:t>s</w:t>
      </w:r>
      <w:r>
        <w:rPr>
          <w:rStyle w:val="eop"/>
          <w:rFonts w:ascii="Verdana" w:hAnsi="Verdana"/>
          <w:sz w:val="22"/>
          <w:szCs w:val="22"/>
        </w:rPr>
        <w:t xml:space="preserve"> to comply with the Financial Reporting Council’s UK Corporate Governance Code </w:t>
      </w:r>
      <w:r w:rsidR="00034C13">
        <w:rPr>
          <w:rStyle w:val="eop"/>
          <w:rFonts w:ascii="Verdana" w:hAnsi="Verdana"/>
          <w:sz w:val="22"/>
          <w:szCs w:val="22"/>
        </w:rPr>
        <w:t>2024</w:t>
      </w:r>
      <w:r w:rsidR="008B1B7D">
        <w:rPr>
          <w:rStyle w:val="eop"/>
          <w:rFonts w:ascii="Verdana" w:hAnsi="Verdana"/>
          <w:sz w:val="22"/>
          <w:szCs w:val="22"/>
        </w:rPr>
        <w:t>, where appropriate</w:t>
      </w:r>
      <w:r w:rsidR="00214860">
        <w:rPr>
          <w:rStyle w:val="FootnoteReference"/>
          <w:rFonts w:ascii="Verdana" w:hAnsi="Verdana"/>
          <w:sz w:val="22"/>
          <w:szCs w:val="22"/>
        </w:rPr>
        <w:footnoteReference w:id="2"/>
      </w:r>
      <w:r w:rsidR="003B16C7">
        <w:rPr>
          <w:rStyle w:val="eop"/>
          <w:rFonts w:ascii="Verdana" w:hAnsi="Verdana"/>
          <w:sz w:val="22"/>
          <w:szCs w:val="22"/>
        </w:rPr>
        <w:t>.</w:t>
      </w:r>
    </w:p>
    <w:p w14:paraId="21ECC168" w14:textId="77777777" w:rsidR="0060790E" w:rsidRPr="0060790E" w:rsidRDefault="0060790E" w:rsidP="0054170D">
      <w:pPr>
        <w:pStyle w:val="paragraph"/>
        <w:spacing w:before="0" w:beforeAutospacing="0" w:after="0" w:afterAutospacing="0"/>
        <w:ind w:left="709" w:hanging="709"/>
        <w:jc w:val="both"/>
        <w:textAlignment w:val="baseline"/>
        <w:rPr>
          <w:rFonts w:ascii="Verdana" w:hAnsi="Verdana" w:cs="Segoe UI"/>
          <w:sz w:val="22"/>
          <w:szCs w:val="22"/>
        </w:rPr>
      </w:pPr>
    </w:p>
    <w:p w14:paraId="2B158DF0" w14:textId="596685A0" w:rsidR="007F2D0E" w:rsidRPr="0060790E" w:rsidRDefault="007F2D0E" w:rsidP="0054170D">
      <w:pPr>
        <w:pStyle w:val="paragraph"/>
        <w:numPr>
          <w:ilvl w:val="0"/>
          <w:numId w:val="4"/>
        </w:numPr>
        <w:spacing w:before="0" w:beforeAutospacing="0" w:after="0" w:afterAutospacing="0"/>
        <w:ind w:left="709" w:hanging="709"/>
        <w:jc w:val="both"/>
        <w:textAlignment w:val="baseline"/>
        <w:rPr>
          <w:rFonts w:ascii="Verdana" w:hAnsi="Verdana" w:cs="Segoe UI"/>
          <w:sz w:val="22"/>
          <w:szCs w:val="22"/>
        </w:rPr>
      </w:pPr>
      <w:r w:rsidRPr="0060790E">
        <w:rPr>
          <w:rStyle w:val="normaltextrun"/>
          <w:rFonts w:ascii="Verdana" w:hAnsi="Verdana"/>
          <w:sz w:val="22"/>
          <w:szCs w:val="22"/>
        </w:rPr>
        <w:t xml:space="preserve">The Directors’ statutory duties are set in the Companies Act 2006.  One of the primary duties of the Directors is to promote the success of the Company for the benefit of its </w:t>
      </w:r>
      <w:r w:rsidR="001A12AE">
        <w:rPr>
          <w:rStyle w:val="normaltextrun"/>
          <w:rFonts w:ascii="Verdana" w:hAnsi="Verdana"/>
          <w:sz w:val="22"/>
          <w:szCs w:val="22"/>
        </w:rPr>
        <w:t>S</w:t>
      </w:r>
      <w:r w:rsidRPr="0060790E">
        <w:rPr>
          <w:rStyle w:val="normaltextrun"/>
          <w:rFonts w:ascii="Verdana" w:hAnsi="Verdana"/>
          <w:sz w:val="22"/>
          <w:szCs w:val="22"/>
        </w:rPr>
        <w:t>hareholder</w:t>
      </w:r>
      <w:r w:rsidR="001A12AE">
        <w:rPr>
          <w:rStyle w:val="FootnoteReference"/>
          <w:rFonts w:ascii="Verdana" w:hAnsi="Verdana"/>
          <w:sz w:val="22"/>
          <w:szCs w:val="22"/>
        </w:rPr>
        <w:footnoteReference w:id="3"/>
      </w:r>
      <w:r w:rsidR="001A12AE">
        <w:rPr>
          <w:rStyle w:val="normaltextrun"/>
          <w:rFonts w:ascii="Verdana" w:hAnsi="Verdana"/>
          <w:sz w:val="22"/>
          <w:szCs w:val="22"/>
        </w:rPr>
        <w:t xml:space="preserve"> </w:t>
      </w:r>
      <w:r w:rsidRPr="0060790E">
        <w:rPr>
          <w:rStyle w:val="normaltextrun"/>
          <w:rFonts w:ascii="Verdana" w:hAnsi="Verdana"/>
          <w:sz w:val="22"/>
          <w:szCs w:val="22"/>
        </w:rPr>
        <w:t>and </w:t>
      </w:r>
      <w:r w:rsidRPr="0060790E">
        <w:rPr>
          <w:rStyle w:val="advancedproofingissue"/>
          <w:rFonts w:ascii="Verdana" w:eastAsiaTheme="minorEastAsia" w:hAnsi="Verdana"/>
          <w:sz w:val="22"/>
          <w:szCs w:val="22"/>
        </w:rPr>
        <w:t>taking into account</w:t>
      </w:r>
      <w:r w:rsidRPr="0060790E">
        <w:rPr>
          <w:rStyle w:val="normaltextrun"/>
          <w:rFonts w:ascii="Verdana" w:hAnsi="Verdana"/>
          <w:sz w:val="22"/>
          <w:szCs w:val="22"/>
        </w:rPr>
        <w:t> the interests of key stakeholders.</w:t>
      </w:r>
      <w:r w:rsidRPr="0060790E">
        <w:rPr>
          <w:rStyle w:val="eop"/>
          <w:rFonts w:ascii="Verdana" w:hAnsi="Verdana"/>
          <w:sz w:val="22"/>
          <w:szCs w:val="22"/>
        </w:rPr>
        <w:t> </w:t>
      </w:r>
    </w:p>
    <w:p w14:paraId="11ACD41D" w14:textId="77777777" w:rsidR="007F2D0E" w:rsidRPr="007F2D0E" w:rsidRDefault="007F2D0E" w:rsidP="007F2D0E">
      <w:pPr>
        <w:pStyle w:val="ListParagraph"/>
        <w:jc w:val="both"/>
        <w:rPr>
          <w:b/>
        </w:rPr>
      </w:pPr>
    </w:p>
    <w:p w14:paraId="5292C43A" w14:textId="77777777" w:rsidR="00E955DE" w:rsidRPr="007F2D0E" w:rsidRDefault="00E955DE" w:rsidP="00E955DE">
      <w:pPr>
        <w:pStyle w:val="ListParagraph"/>
        <w:numPr>
          <w:ilvl w:val="0"/>
          <w:numId w:val="2"/>
        </w:numPr>
        <w:ind w:right="95" w:hanging="720"/>
        <w:jc w:val="both"/>
        <w:rPr>
          <w:b/>
        </w:rPr>
      </w:pPr>
      <w:bookmarkStart w:id="1" w:name="_Ref34036941"/>
      <w:r w:rsidRPr="00F60E50">
        <w:rPr>
          <w:b/>
        </w:rPr>
        <w:t>Matters Reserved to the Shareholder</w:t>
      </w:r>
      <w:bookmarkEnd w:id="1"/>
      <w:r w:rsidRPr="00F60E50">
        <w:rPr>
          <w:b/>
        </w:rPr>
        <w:t xml:space="preserve"> </w:t>
      </w:r>
    </w:p>
    <w:p w14:paraId="637EB996" w14:textId="77777777" w:rsidR="00E955DE" w:rsidRDefault="00E955DE" w:rsidP="00E955DE">
      <w:pPr>
        <w:ind w:right="95"/>
        <w:jc w:val="both"/>
        <w:rPr>
          <w:b/>
        </w:rPr>
      </w:pPr>
    </w:p>
    <w:p w14:paraId="0FA2AB80" w14:textId="3612E708" w:rsidR="00E955DE" w:rsidRDefault="00564232" w:rsidP="0054170D">
      <w:pPr>
        <w:spacing w:line="240" w:lineRule="auto"/>
        <w:ind w:left="709" w:right="96" w:hanging="709"/>
        <w:jc w:val="both"/>
      </w:pPr>
      <w:r>
        <w:t>4</w:t>
      </w:r>
      <w:r w:rsidR="00E955DE" w:rsidRPr="001A12AE">
        <w:t>.</w:t>
      </w:r>
      <w:r w:rsidR="00E955DE" w:rsidRPr="001A12AE">
        <w:tab/>
      </w:r>
      <w:r w:rsidR="00E955DE">
        <w:t>In accordance with the Company’s Articles, the Shareholder may, by special resolution, direct the directors to take, or refrain from taking, any specified action (Article 45).</w:t>
      </w:r>
    </w:p>
    <w:p w14:paraId="6E9A1893" w14:textId="77777777" w:rsidR="00E955DE" w:rsidRDefault="00E955DE" w:rsidP="0054170D">
      <w:pPr>
        <w:spacing w:line="240" w:lineRule="auto"/>
        <w:ind w:left="567" w:right="95" w:hanging="567"/>
        <w:jc w:val="both"/>
        <w:rPr>
          <w:b/>
        </w:rPr>
      </w:pPr>
    </w:p>
    <w:p w14:paraId="28ADBFC2" w14:textId="7B3D783E" w:rsidR="00E955DE" w:rsidRPr="001A12AE" w:rsidRDefault="00DA0553" w:rsidP="0054170D">
      <w:pPr>
        <w:pStyle w:val="ListParagraph"/>
        <w:numPr>
          <w:ilvl w:val="0"/>
          <w:numId w:val="15"/>
        </w:numPr>
        <w:spacing w:line="240" w:lineRule="auto"/>
        <w:ind w:right="96" w:hanging="720"/>
        <w:jc w:val="both"/>
      </w:pPr>
      <w:r>
        <w:t xml:space="preserve">Article 8.1 (A) – (F) sets out </w:t>
      </w:r>
      <w:r w:rsidR="00173C79">
        <w:t xml:space="preserve">certain powers </w:t>
      </w:r>
      <w:r>
        <w:t>reserved to the Shareholder</w:t>
      </w:r>
      <w:r w:rsidR="00173C79">
        <w:t xml:space="preserve"> regarding Company Matters</w:t>
      </w:r>
      <w:r>
        <w:t xml:space="preserve">, which may occur and be effective only with prior written consent from the </w:t>
      </w:r>
      <w:r w:rsidR="00E955DE" w:rsidRPr="001A12AE">
        <w:t>Shareholder:</w:t>
      </w:r>
    </w:p>
    <w:p w14:paraId="78E7D104" w14:textId="67A106CB" w:rsidR="00356FAA" w:rsidRPr="00820C76" w:rsidRDefault="00356FAA" w:rsidP="00CE1265">
      <w:pPr>
        <w:pStyle w:val="ListParagraph"/>
        <w:numPr>
          <w:ilvl w:val="0"/>
          <w:numId w:val="6"/>
        </w:numPr>
        <w:spacing w:line="240" w:lineRule="auto"/>
        <w:ind w:left="1276" w:right="96" w:hanging="567"/>
        <w:jc w:val="both"/>
        <w:rPr>
          <w:rStyle w:val="normaltextrun"/>
        </w:rPr>
      </w:pPr>
      <w:r>
        <w:rPr>
          <w:rStyle w:val="normaltextrun"/>
          <w:color w:val="000000"/>
          <w:shd w:val="clear" w:color="auto" w:fill="FFFFFF"/>
        </w:rPr>
        <w:t>Appointment, reappointment or removal from office of any director, chief executive (or equivalent) or Chair of the Company (Articles 8.1</w:t>
      </w:r>
      <w:r w:rsidR="00015600">
        <w:rPr>
          <w:rStyle w:val="normaltextrun"/>
          <w:color w:val="000000"/>
          <w:shd w:val="clear" w:color="auto" w:fill="FFFFFF"/>
        </w:rPr>
        <w:t xml:space="preserve"> (A) (i)-(iii)</w:t>
      </w:r>
      <w:r>
        <w:rPr>
          <w:rStyle w:val="normaltextrun"/>
          <w:color w:val="000000"/>
          <w:shd w:val="clear" w:color="auto" w:fill="FFFFFF"/>
        </w:rPr>
        <w:t>, 40, 42, 44</w:t>
      </w:r>
      <w:r w:rsidR="00015600">
        <w:rPr>
          <w:rStyle w:val="normaltextrun"/>
          <w:color w:val="000000"/>
          <w:shd w:val="clear" w:color="auto" w:fill="FFFFFF"/>
        </w:rPr>
        <w:t>)</w:t>
      </w:r>
      <w:r w:rsidR="003F4268">
        <w:rPr>
          <w:rStyle w:val="FootnoteReference"/>
          <w:color w:val="000000"/>
          <w:shd w:val="clear" w:color="auto" w:fill="FFFFFF"/>
        </w:rPr>
        <w:footnoteReference w:id="4"/>
      </w:r>
      <w:r w:rsidR="0093481B">
        <w:rPr>
          <w:rStyle w:val="normaltextrun"/>
          <w:color w:val="000000"/>
          <w:shd w:val="clear" w:color="auto" w:fill="FFFFFF"/>
        </w:rPr>
        <w:t>.</w:t>
      </w:r>
    </w:p>
    <w:p w14:paraId="1831D879" w14:textId="378A47F5" w:rsidR="00015600" w:rsidRDefault="00015600" w:rsidP="00CE1265">
      <w:pPr>
        <w:pStyle w:val="ListParagraph"/>
        <w:numPr>
          <w:ilvl w:val="0"/>
          <w:numId w:val="6"/>
        </w:numPr>
        <w:spacing w:line="240" w:lineRule="auto"/>
        <w:ind w:left="1276" w:right="96" w:hanging="567"/>
        <w:jc w:val="both"/>
      </w:pPr>
      <w:r w:rsidRPr="00870AEE">
        <w:t>Any change in the prescribed minimum number of directors of the company</w:t>
      </w:r>
      <w:r>
        <w:t xml:space="preserve"> (Article 8.1 (B) (via the Nominations Committee)</w:t>
      </w:r>
      <w:r w:rsidR="0093481B">
        <w:t>.</w:t>
      </w:r>
    </w:p>
    <w:p w14:paraId="73DC49B4" w14:textId="24F79401" w:rsidR="00015600" w:rsidRDefault="00015600" w:rsidP="00CE1265">
      <w:pPr>
        <w:pStyle w:val="ListParagraph"/>
        <w:numPr>
          <w:ilvl w:val="0"/>
          <w:numId w:val="6"/>
        </w:numPr>
        <w:spacing w:line="240" w:lineRule="auto"/>
        <w:ind w:left="1276" w:right="96" w:hanging="567"/>
        <w:jc w:val="both"/>
      </w:pPr>
      <w:r>
        <w:t>The appointment of any person other than a director of the company as an alternate director of any director of the company (Article 8.1 (C)</w:t>
      </w:r>
      <w:r w:rsidR="00DD53A4">
        <w:t>)</w:t>
      </w:r>
      <w:r w:rsidR="0093481B">
        <w:t>.</w:t>
      </w:r>
    </w:p>
    <w:p w14:paraId="28AD0CB5" w14:textId="61AC9E5A" w:rsidR="00015600" w:rsidRDefault="00015600" w:rsidP="00CE1265">
      <w:pPr>
        <w:pStyle w:val="ListParagraph"/>
        <w:numPr>
          <w:ilvl w:val="0"/>
          <w:numId w:val="6"/>
        </w:numPr>
        <w:spacing w:line="240" w:lineRule="auto"/>
        <w:ind w:left="1276" w:right="96" w:hanging="567"/>
        <w:jc w:val="both"/>
      </w:pPr>
      <w:r w:rsidRPr="00870AEE">
        <w:t xml:space="preserve">Any action taken by any company or the Board (including any appointment, removal or re-designation) which would have the effect that the Board ceased to include directors appointed to the post of </w:t>
      </w:r>
      <w:r w:rsidRPr="00870AEE">
        <w:lastRenderedPageBreak/>
        <w:t>Chair, chief executive and finance director (or directors carrying out the general functions denoted by such posts)</w:t>
      </w:r>
      <w:r>
        <w:t xml:space="preserve"> (Article 8.1 (D)</w:t>
      </w:r>
      <w:r w:rsidR="00DD53A4">
        <w:t>)</w:t>
      </w:r>
      <w:r w:rsidR="000329A5">
        <w:t>.</w:t>
      </w:r>
    </w:p>
    <w:p w14:paraId="435ED543" w14:textId="298F0280" w:rsidR="00596087" w:rsidRDefault="00015600" w:rsidP="00CE1265">
      <w:pPr>
        <w:pStyle w:val="ListParagraph"/>
        <w:numPr>
          <w:ilvl w:val="0"/>
          <w:numId w:val="6"/>
        </w:numPr>
        <w:spacing w:line="240" w:lineRule="auto"/>
        <w:ind w:left="1276" w:right="96" w:hanging="567"/>
        <w:jc w:val="both"/>
      </w:pPr>
      <w:r w:rsidRPr="00870AEE">
        <w:t>Approval or variation of director and officer remuneration</w:t>
      </w:r>
      <w:r w:rsidR="00CA1608">
        <w:rPr>
          <w:rStyle w:val="FootnoteReference"/>
        </w:rPr>
        <w:footnoteReference w:id="5"/>
      </w:r>
      <w:r w:rsidRPr="00870AEE">
        <w:t xml:space="preserve"> and/or terms and conditions of employment or engagement</w:t>
      </w:r>
      <w:r w:rsidR="00596087">
        <w:t xml:space="preserve"> (Articles 8.1(E), 50-52</w:t>
      </w:r>
      <w:r w:rsidR="002E5E73">
        <w:t xml:space="preserve"> (</w:t>
      </w:r>
      <w:r w:rsidR="003F4268">
        <w:t>via</w:t>
      </w:r>
      <w:r w:rsidR="002E5E73">
        <w:t xml:space="preserve"> the Remuneration </w:t>
      </w:r>
      <w:r w:rsidR="00345347">
        <w:t>Committee</w:t>
      </w:r>
      <w:r w:rsidR="002E5E73">
        <w:t>)</w:t>
      </w:r>
      <w:r w:rsidR="000329A5">
        <w:t>.</w:t>
      </w:r>
    </w:p>
    <w:p w14:paraId="07C47FAF" w14:textId="51ED9231" w:rsidR="00596087" w:rsidRDefault="00596087" w:rsidP="00CE1265">
      <w:pPr>
        <w:pStyle w:val="ListParagraph"/>
        <w:numPr>
          <w:ilvl w:val="0"/>
          <w:numId w:val="6"/>
        </w:numPr>
        <w:spacing w:line="240" w:lineRule="auto"/>
        <w:ind w:left="1276" w:right="96" w:hanging="567"/>
        <w:jc w:val="both"/>
      </w:pPr>
      <w:r w:rsidRPr="00870AEE">
        <w:t>Declaration or payment of a dividend or other distribution outside of the Group Strategic Plan</w:t>
      </w:r>
      <w:r>
        <w:t xml:space="preserve"> (Article 8.1 (F)</w:t>
      </w:r>
      <w:r w:rsidR="00DD53A4">
        <w:t>)</w:t>
      </w:r>
      <w:r w:rsidR="000329A5">
        <w:t>.</w:t>
      </w:r>
    </w:p>
    <w:p w14:paraId="36D4247E" w14:textId="01D97DF5" w:rsidR="006B7B50" w:rsidRDefault="00596087" w:rsidP="00CE1265">
      <w:pPr>
        <w:pStyle w:val="ListParagraph"/>
        <w:numPr>
          <w:ilvl w:val="0"/>
          <w:numId w:val="6"/>
        </w:numPr>
        <w:spacing w:line="240" w:lineRule="auto"/>
        <w:ind w:left="1276" w:right="96" w:hanging="567"/>
        <w:jc w:val="both"/>
      </w:pPr>
      <w:r w:rsidRPr="00870AEE">
        <w:t>Any distribution, payment or return to Shareholders of the Company out of capital of the Company</w:t>
      </w:r>
      <w:r>
        <w:t xml:space="preserve"> (Article</w:t>
      </w:r>
      <w:r w:rsidR="006B7B50">
        <w:t>s</w:t>
      </w:r>
      <w:r>
        <w:t xml:space="preserve"> 8.1 (G)</w:t>
      </w:r>
      <w:r w:rsidR="006B7B50">
        <w:t>, 76)</w:t>
      </w:r>
      <w:r w:rsidR="000329A5">
        <w:t>.</w:t>
      </w:r>
      <w:r>
        <w:t xml:space="preserve"> </w:t>
      </w:r>
    </w:p>
    <w:p w14:paraId="6C445A01" w14:textId="77777777" w:rsidR="009E5C2D" w:rsidRDefault="009E5C2D" w:rsidP="00BE47C5">
      <w:pPr>
        <w:pStyle w:val="ListParagraph"/>
        <w:ind w:left="1429" w:right="95"/>
        <w:jc w:val="both"/>
      </w:pPr>
    </w:p>
    <w:p w14:paraId="31FA4DD3" w14:textId="03852EF5" w:rsidR="00DA0553" w:rsidRDefault="00DA0553" w:rsidP="001C6254">
      <w:pPr>
        <w:pStyle w:val="ListParagraph"/>
        <w:numPr>
          <w:ilvl w:val="0"/>
          <w:numId w:val="15"/>
        </w:numPr>
        <w:spacing w:line="240" w:lineRule="auto"/>
        <w:ind w:right="96" w:hanging="720"/>
        <w:jc w:val="both"/>
      </w:pPr>
      <w:r>
        <w:t xml:space="preserve">Article 8.1 (H) – </w:t>
      </w:r>
      <w:r w:rsidR="00DD53A4">
        <w:t>(</w:t>
      </w:r>
      <w:r>
        <w:t>Z</w:t>
      </w:r>
      <w:r w:rsidR="00DD53A4">
        <w:t>)</w:t>
      </w:r>
      <w:r>
        <w:t xml:space="preserve"> sets out the </w:t>
      </w:r>
      <w:r w:rsidR="00173C79">
        <w:t xml:space="preserve">powers </w:t>
      </w:r>
      <w:r>
        <w:t>reserved to the Shareholder</w:t>
      </w:r>
      <w:r w:rsidR="00173C79">
        <w:t xml:space="preserve"> relating to Group Matters</w:t>
      </w:r>
      <w:r>
        <w:t>, which may occur and be effective only with prior written consent from the Shareholder:</w:t>
      </w:r>
    </w:p>
    <w:p w14:paraId="22B0134C" w14:textId="37F2B499" w:rsidR="00173C79" w:rsidRDefault="00173C79" w:rsidP="00CE1265">
      <w:pPr>
        <w:pStyle w:val="ListParagraph"/>
        <w:numPr>
          <w:ilvl w:val="0"/>
          <w:numId w:val="37"/>
        </w:numPr>
        <w:spacing w:line="240" w:lineRule="auto"/>
        <w:ind w:left="1276" w:right="96" w:hanging="567"/>
        <w:jc w:val="both"/>
      </w:pPr>
      <w:r w:rsidRPr="008E6AD3">
        <w:t>The alteration</w:t>
      </w:r>
      <w:r w:rsidRPr="0054431E">
        <w:t xml:space="preserve"> or deletion of, or the ratification of any breach of, all or any part of the Articles (Articles </w:t>
      </w:r>
      <w:r>
        <w:t xml:space="preserve">8.1 </w:t>
      </w:r>
      <w:r w:rsidRPr="0054431E">
        <w:t>(H))</w:t>
      </w:r>
      <w:r w:rsidR="000329A5">
        <w:t>.</w:t>
      </w:r>
    </w:p>
    <w:p w14:paraId="0C52D80C" w14:textId="6FCA9B52" w:rsidR="00173C79" w:rsidRDefault="00173C79" w:rsidP="00CE1265">
      <w:pPr>
        <w:pStyle w:val="ListParagraph"/>
        <w:numPr>
          <w:ilvl w:val="0"/>
          <w:numId w:val="37"/>
        </w:numPr>
        <w:spacing w:line="240" w:lineRule="auto"/>
        <w:ind w:left="1276" w:right="96" w:hanging="567"/>
        <w:jc w:val="both"/>
      </w:pPr>
      <w:r w:rsidRPr="0054431E">
        <w:t>Voluntary winding up or entry into administration of the company</w:t>
      </w:r>
      <w:r>
        <w:t xml:space="preserve"> (Article 8.1 (I))</w:t>
      </w:r>
      <w:r w:rsidR="000329A5">
        <w:t>.</w:t>
      </w:r>
    </w:p>
    <w:p w14:paraId="64DD391F" w14:textId="4BD9803F" w:rsidR="00DA0553" w:rsidRDefault="00173C79" w:rsidP="00CE1265">
      <w:pPr>
        <w:pStyle w:val="ListParagraph"/>
        <w:numPr>
          <w:ilvl w:val="0"/>
          <w:numId w:val="37"/>
        </w:numPr>
        <w:spacing w:line="240" w:lineRule="auto"/>
        <w:ind w:left="1276" w:right="96" w:hanging="567"/>
        <w:jc w:val="both"/>
      </w:pPr>
      <w:r w:rsidRPr="0054431E">
        <w:t xml:space="preserve">Redemption or purchase of the Company’s own shares or reduction in share capital (Article </w:t>
      </w:r>
      <w:r>
        <w:t xml:space="preserve">8.1 </w:t>
      </w:r>
      <w:r w:rsidRPr="0054431E">
        <w:t>(J))</w:t>
      </w:r>
      <w:r w:rsidR="000329A5">
        <w:t>.</w:t>
      </w:r>
      <w:r>
        <w:t xml:space="preserve"> </w:t>
      </w:r>
    </w:p>
    <w:p w14:paraId="70440806" w14:textId="12CDF03D" w:rsidR="00173C79" w:rsidRDefault="00173C79" w:rsidP="00CE1265">
      <w:pPr>
        <w:pStyle w:val="ListParagraph"/>
        <w:numPr>
          <w:ilvl w:val="0"/>
          <w:numId w:val="37"/>
        </w:numPr>
        <w:spacing w:line="240" w:lineRule="auto"/>
        <w:ind w:left="1276" w:right="96" w:hanging="567"/>
        <w:jc w:val="both"/>
      </w:pPr>
      <w:r w:rsidRPr="0054431E">
        <w:t xml:space="preserve">Set up of a new subsidiary company or any action relating to shares in the Company (Article </w:t>
      </w:r>
      <w:r>
        <w:t>8.1</w:t>
      </w:r>
      <w:r w:rsidRPr="0054431E">
        <w:t xml:space="preserve"> (K))</w:t>
      </w:r>
      <w:r w:rsidR="000329A5">
        <w:t>.</w:t>
      </w:r>
    </w:p>
    <w:p w14:paraId="7D2F6A97" w14:textId="36281F19" w:rsidR="00DD53A4" w:rsidRDefault="00DD53A4" w:rsidP="00CE1265">
      <w:pPr>
        <w:pStyle w:val="ListParagraph"/>
        <w:numPr>
          <w:ilvl w:val="0"/>
          <w:numId w:val="37"/>
        </w:numPr>
        <w:spacing w:line="240" w:lineRule="auto"/>
        <w:ind w:left="1276" w:right="96" w:hanging="567"/>
        <w:jc w:val="both"/>
      </w:pPr>
      <w:r w:rsidRPr="0054431E">
        <w:t>Any action relating to shares held by the Company in a subsidiary or associated undertaking</w:t>
      </w:r>
      <w:r>
        <w:rPr>
          <w:rStyle w:val="FootnoteReference"/>
        </w:rPr>
        <w:footnoteReference w:id="6"/>
      </w:r>
      <w:r>
        <w:t xml:space="preserve"> or in First Rate Exchange Services Holdings Limited (while an associated undertaking of a member of the Group) or in any other associated undertaking of a member of the Group (Article 8.1(L))</w:t>
      </w:r>
      <w:r w:rsidR="000329A5">
        <w:t>.</w:t>
      </w:r>
    </w:p>
    <w:p w14:paraId="13988CC0" w14:textId="49F0D659" w:rsidR="00DD53A4" w:rsidRDefault="00DD53A4" w:rsidP="00CE1265">
      <w:pPr>
        <w:pStyle w:val="ListParagraph"/>
        <w:numPr>
          <w:ilvl w:val="0"/>
          <w:numId w:val="37"/>
        </w:numPr>
        <w:spacing w:line="240" w:lineRule="auto"/>
        <w:ind w:left="1276" w:right="96" w:hanging="567"/>
        <w:jc w:val="both"/>
      </w:pPr>
      <w:r w:rsidRPr="0054431E">
        <w:t>The amalgamation or merger of the Company with any other company or business undertaking</w:t>
      </w:r>
      <w:r>
        <w:t xml:space="preserve"> (Article 8.1 (M))</w:t>
      </w:r>
      <w:r w:rsidR="000329A5">
        <w:t>.</w:t>
      </w:r>
    </w:p>
    <w:p w14:paraId="48871853" w14:textId="706A7CEB" w:rsidR="00DD53A4" w:rsidRDefault="00DD53A4" w:rsidP="00CE1265">
      <w:pPr>
        <w:pStyle w:val="ListParagraph"/>
        <w:numPr>
          <w:ilvl w:val="0"/>
          <w:numId w:val="37"/>
        </w:numPr>
        <w:spacing w:line="240" w:lineRule="auto"/>
        <w:ind w:left="1276" w:right="96" w:hanging="567"/>
        <w:jc w:val="both"/>
      </w:pPr>
      <w:r w:rsidRPr="0054431E">
        <w:t>The creation or granting of any encumbrance relating to the Company’s business, undertaking, assets or Shares unless arising in the ordinary course of business</w:t>
      </w:r>
      <w:r w:rsidRPr="0054431E">
        <w:rPr>
          <w:rStyle w:val="FootnoteReference"/>
        </w:rPr>
        <w:footnoteReference w:id="7"/>
      </w:r>
      <w:r w:rsidRPr="0054431E">
        <w:t xml:space="preserve">  (Article </w:t>
      </w:r>
      <w:r>
        <w:t>8.1</w:t>
      </w:r>
      <w:r w:rsidRPr="0054431E">
        <w:t xml:space="preserve"> (N)</w:t>
      </w:r>
      <w:r>
        <w:t>)</w:t>
      </w:r>
      <w:r w:rsidR="000329A5">
        <w:t>.</w:t>
      </w:r>
    </w:p>
    <w:p w14:paraId="654BC246" w14:textId="471A2286" w:rsidR="00DD53A4" w:rsidRDefault="00BB1624" w:rsidP="00CE1265">
      <w:pPr>
        <w:pStyle w:val="ListParagraph"/>
        <w:numPr>
          <w:ilvl w:val="0"/>
          <w:numId w:val="37"/>
        </w:numPr>
        <w:spacing w:line="240" w:lineRule="auto"/>
        <w:ind w:left="1276" w:right="96" w:hanging="567"/>
        <w:jc w:val="both"/>
      </w:pPr>
      <w:r w:rsidRPr="0054431E">
        <w:t>Making of a loan, granting of credit or giving of a guarantee or indemnity apart from intra-group arrangements entered into in the ordinary course of business</w:t>
      </w:r>
      <w:r>
        <w:rPr>
          <w:rStyle w:val="FootnoteReference"/>
        </w:rPr>
        <w:footnoteReference w:id="8"/>
      </w:r>
      <w:r>
        <w:t xml:space="preserve"> (Article 8.1 (O))</w:t>
      </w:r>
      <w:r w:rsidR="000329A5">
        <w:t>.</w:t>
      </w:r>
    </w:p>
    <w:p w14:paraId="070451D1" w14:textId="2464C620" w:rsidR="00BB1624" w:rsidRDefault="00BB1624" w:rsidP="00CE1265">
      <w:pPr>
        <w:pStyle w:val="ListParagraph"/>
        <w:numPr>
          <w:ilvl w:val="0"/>
          <w:numId w:val="37"/>
        </w:numPr>
        <w:spacing w:line="240" w:lineRule="auto"/>
        <w:ind w:left="1276" w:right="96" w:hanging="567"/>
        <w:jc w:val="both"/>
      </w:pPr>
      <w:r w:rsidRPr="0054431E">
        <w:t>The restructure or reorganisation of the Group structure such that the Compa</w:t>
      </w:r>
      <w:r w:rsidRPr="00870AEE">
        <w:t>ny’s shareholding in its subsidiary undertakings is altered or amended</w:t>
      </w:r>
      <w:r>
        <w:t xml:space="preserve"> (Article 8.1 (P))</w:t>
      </w:r>
      <w:r w:rsidR="000329A5">
        <w:t>.</w:t>
      </w:r>
    </w:p>
    <w:p w14:paraId="084D1679" w14:textId="6E1B606C" w:rsidR="00BB1624" w:rsidRDefault="00BB1624" w:rsidP="00CE1265">
      <w:pPr>
        <w:pStyle w:val="ListParagraph"/>
        <w:numPr>
          <w:ilvl w:val="0"/>
          <w:numId w:val="37"/>
        </w:numPr>
        <w:spacing w:line="240" w:lineRule="auto"/>
        <w:ind w:left="1276" w:right="96" w:hanging="567"/>
        <w:jc w:val="both"/>
      </w:pPr>
      <w:r w:rsidRPr="00870AEE">
        <w:t>The actual or proposed presentation of a petition to appoint an administrator of the Company</w:t>
      </w:r>
      <w:r>
        <w:t xml:space="preserve"> (Article 8.1 (Q))</w:t>
      </w:r>
      <w:r w:rsidR="000329A5">
        <w:t>.</w:t>
      </w:r>
    </w:p>
    <w:p w14:paraId="6E4C5045" w14:textId="15A33478" w:rsidR="00BB1624" w:rsidRDefault="00BB1624" w:rsidP="00CE1265">
      <w:pPr>
        <w:pStyle w:val="ListParagraph"/>
        <w:numPr>
          <w:ilvl w:val="0"/>
          <w:numId w:val="37"/>
        </w:numPr>
        <w:spacing w:line="240" w:lineRule="auto"/>
        <w:ind w:left="1276" w:right="96" w:hanging="567"/>
        <w:jc w:val="both"/>
      </w:pPr>
      <w:r w:rsidRPr="00870AEE">
        <w:t>Change to accounting reference date, practice or policy if different from the Group and unless required by law or generally accepted accounting principles</w:t>
      </w:r>
      <w:r>
        <w:t xml:space="preserve"> (Article 8.1 (R))</w:t>
      </w:r>
      <w:r w:rsidR="00E95B0F">
        <w:t xml:space="preserve"> (via Audit, Risk and Compliance Committee)</w:t>
      </w:r>
      <w:r w:rsidR="000329A5">
        <w:t>.</w:t>
      </w:r>
      <w:r w:rsidR="00E95B0F">
        <w:t xml:space="preserve"> </w:t>
      </w:r>
    </w:p>
    <w:p w14:paraId="5EA22819" w14:textId="4C6B4FFC" w:rsidR="00BB1624" w:rsidRDefault="00BB1624" w:rsidP="00CE1265">
      <w:pPr>
        <w:pStyle w:val="ListParagraph"/>
        <w:numPr>
          <w:ilvl w:val="0"/>
          <w:numId w:val="37"/>
        </w:numPr>
        <w:spacing w:line="240" w:lineRule="auto"/>
        <w:ind w:left="1276" w:right="96" w:hanging="567"/>
        <w:jc w:val="both"/>
      </w:pPr>
      <w:r>
        <w:lastRenderedPageBreak/>
        <w:t>The appointment, remuneration of any person who is not a member of the Group as a director of any member of the Group (other than the company and a member of the Group that is regulated by the FCA</w:t>
      </w:r>
      <w:r w:rsidR="001D1BFD">
        <w:t xml:space="preserve"> (Article 8.1 (S))</w:t>
      </w:r>
      <w:r w:rsidR="00B1092F">
        <w:t xml:space="preserve"> (delegated to the Remuneration Committee)</w:t>
      </w:r>
    </w:p>
    <w:p w14:paraId="42BF0533" w14:textId="57179F35" w:rsidR="00C92BE6" w:rsidRDefault="00BB1624" w:rsidP="00CE1265">
      <w:pPr>
        <w:pStyle w:val="ListParagraph"/>
        <w:numPr>
          <w:ilvl w:val="0"/>
          <w:numId w:val="37"/>
        </w:numPr>
        <w:spacing w:line="240" w:lineRule="auto"/>
        <w:ind w:left="1276" w:right="96" w:hanging="567"/>
        <w:jc w:val="both"/>
      </w:pPr>
      <w:r>
        <w:t>The additional remuneration of any employee (but not salary arrangements)</w:t>
      </w:r>
      <w:r w:rsidR="00C92BE6">
        <w:t xml:space="preserve"> of a member of the Group in their capacity as a director of a member of the Group (Article 8.1 (S)</w:t>
      </w:r>
      <w:r w:rsidR="00B1092F">
        <w:t xml:space="preserve"> (delegated to the Remuneration Committee)</w:t>
      </w:r>
      <w:r w:rsidR="00C92BE6">
        <w:t>)</w:t>
      </w:r>
      <w:r w:rsidR="000329A5">
        <w:t>.</w:t>
      </w:r>
    </w:p>
    <w:p w14:paraId="11644173" w14:textId="6550CCF7" w:rsidR="00C92BE6" w:rsidRDefault="00C92BE6" w:rsidP="00CE1265">
      <w:pPr>
        <w:pStyle w:val="ListParagraph"/>
        <w:numPr>
          <w:ilvl w:val="0"/>
          <w:numId w:val="37"/>
        </w:numPr>
        <w:spacing w:line="240" w:lineRule="auto"/>
        <w:ind w:left="1276" w:right="96" w:hanging="567"/>
        <w:jc w:val="both"/>
      </w:pPr>
      <w:r w:rsidRPr="00870AEE">
        <w:t>The establishment of (or approval of any agreement to establish) a new pension scheme by the company</w:t>
      </w:r>
      <w:r>
        <w:t xml:space="preserve"> (Article 8.1 (T))</w:t>
      </w:r>
      <w:r w:rsidR="000329A5">
        <w:t>.</w:t>
      </w:r>
    </w:p>
    <w:p w14:paraId="010FB74A" w14:textId="59034BD4" w:rsidR="00C92BE6" w:rsidRPr="001C6254" w:rsidRDefault="00C92BE6" w:rsidP="00CE1265">
      <w:pPr>
        <w:pStyle w:val="ListParagraph"/>
        <w:numPr>
          <w:ilvl w:val="0"/>
          <w:numId w:val="37"/>
        </w:numPr>
        <w:spacing w:line="240" w:lineRule="auto"/>
        <w:ind w:left="1276" w:right="96" w:hanging="567"/>
        <w:jc w:val="both"/>
        <w:rPr>
          <w:b/>
        </w:rPr>
      </w:pPr>
      <w:r>
        <w:t>The adoption of or any material variation or amendment of a Group Strategic Plan previously adopted (Article 8.1 (U)</w:t>
      </w:r>
      <w:r w:rsidR="007A375D">
        <w:t xml:space="preserve"> and Group Business Plan (</w:t>
      </w:r>
      <w:r w:rsidR="004F5D75">
        <w:t>FD section 32</w:t>
      </w:r>
      <w:r>
        <w:t>)</w:t>
      </w:r>
      <w:r w:rsidR="005C785E">
        <w:rPr>
          <w:rStyle w:val="FootnoteReference"/>
        </w:rPr>
        <w:footnoteReference w:id="9"/>
      </w:r>
      <w:r w:rsidR="000329A5">
        <w:t>.</w:t>
      </w:r>
    </w:p>
    <w:p w14:paraId="2EB68F11" w14:textId="2597A050" w:rsidR="00EB2642" w:rsidRDefault="00EB2642" w:rsidP="00CE1265">
      <w:pPr>
        <w:pStyle w:val="ListParagraph"/>
        <w:numPr>
          <w:ilvl w:val="0"/>
          <w:numId w:val="37"/>
        </w:numPr>
        <w:spacing w:line="240" w:lineRule="auto"/>
        <w:ind w:left="1276" w:right="96" w:hanging="567"/>
        <w:jc w:val="both"/>
      </w:pPr>
      <w:r>
        <w:t>The adoption, material variation or amendment to a Group Strategic Plan previously adopted (Article 8.1 (V))</w:t>
      </w:r>
      <w:r w:rsidR="000329A5">
        <w:t>.</w:t>
      </w:r>
    </w:p>
    <w:p w14:paraId="30847AA9" w14:textId="352A747B" w:rsidR="00BB1624" w:rsidRPr="008B534B" w:rsidRDefault="70E4B4B5" w:rsidP="00CE1265">
      <w:pPr>
        <w:pStyle w:val="ListParagraph"/>
        <w:numPr>
          <w:ilvl w:val="0"/>
          <w:numId w:val="37"/>
        </w:numPr>
        <w:spacing w:line="240" w:lineRule="auto"/>
        <w:ind w:left="1276" w:right="96" w:hanging="567"/>
        <w:jc w:val="both"/>
      </w:pPr>
      <w:r w:rsidRPr="005C785E">
        <w:t>Entry into a Relevant Transaction</w:t>
      </w:r>
      <w:r w:rsidR="00EB2642" w:rsidRPr="008B534B">
        <w:rPr>
          <w:rStyle w:val="FootnoteReference"/>
        </w:rPr>
        <w:footnoteReference w:id="10"/>
      </w:r>
      <w:r w:rsidRPr="005C785E">
        <w:t xml:space="preserve"> </w:t>
      </w:r>
      <w:r w:rsidR="00DD6287">
        <w:t xml:space="preserve">whereby </w:t>
      </w:r>
      <w:r w:rsidRPr="005C785E">
        <w:t>the Company’s interest in an asset is lost meaning it can no longer perform the business of the Company as per the</w:t>
      </w:r>
      <w:r w:rsidR="067A2D2E" w:rsidRPr="005C785E">
        <w:t xml:space="preserve"> </w:t>
      </w:r>
      <w:r w:rsidRPr="005C785E">
        <w:t>Group Strategic Plan (Article 8.1 (W))</w:t>
      </w:r>
      <w:r w:rsidR="000329A5">
        <w:t>.</w:t>
      </w:r>
      <w:r w:rsidRPr="008B534B">
        <w:t xml:space="preserve"> </w:t>
      </w:r>
    </w:p>
    <w:p w14:paraId="3C363FD7" w14:textId="76122A0E" w:rsidR="00EB2642" w:rsidRPr="001C6254" w:rsidRDefault="00EB2642" w:rsidP="00CE1265">
      <w:pPr>
        <w:pStyle w:val="ListParagraph"/>
        <w:numPr>
          <w:ilvl w:val="0"/>
          <w:numId w:val="37"/>
        </w:numPr>
        <w:spacing w:line="240" w:lineRule="auto"/>
        <w:ind w:left="1276" w:right="96" w:hanging="567"/>
        <w:jc w:val="both"/>
        <w:rPr>
          <w:b/>
        </w:rPr>
      </w:pPr>
      <w:r w:rsidRPr="0054431E">
        <w:t>The entry into or implementation of a Relevant Transaction</w:t>
      </w:r>
      <w:r w:rsidRPr="0054431E">
        <w:rPr>
          <w:rStyle w:val="FootnoteReference"/>
        </w:rPr>
        <w:footnoteReference w:id="11"/>
      </w:r>
      <w:r w:rsidRPr="0054431E">
        <w:t xml:space="preserve"> by the Company involving actual or likely spend or liability in excess of £50,000,000 (Article </w:t>
      </w:r>
      <w:r>
        <w:t xml:space="preserve">8.1 </w:t>
      </w:r>
      <w:r w:rsidRPr="0054431E">
        <w:t>(</w:t>
      </w:r>
      <w:r>
        <w:t>X</w:t>
      </w:r>
      <w:r w:rsidRPr="0054431E">
        <w:t>))</w:t>
      </w:r>
      <w:r w:rsidR="00F333BE">
        <w:t>.</w:t>
      </w:r>
      <w:r w:rsidR="005D63DD">
        <w:t xml:space="preserve"> </w:t>
      </w:r>
    </w:p>
    <w:p w14:paraId="62C4A038" w14:textId="31CF06EF" w:rsidR="00EB2642" w:rsidRPr="001C6254" w:rsidRDefault="00EB2642" w:rsidP="00CE1265">
      <w:pPr>
        <w:pStyle w:val="ListParagraph"/>
        <w:numPr>
          <w:ilvl w:val="0"/>
          <w:numId w:val="37"/>
        </w:numPr>
        <w:spacing w:line="240" w:lineRule="auto"/>
        <w:ind w:left="1276" w:right="96" w:hanging="567"/>
        <w:jc w:val="both"/>
        <w:rPr>
          <w:b/>
        </w:rPr>
      </w:pPr>
      <w:r w:rsidRPr="0054431E">
        <w:t>The entry by the Company into any Relevant Transaction</w:t>
      </w:r>
      <w:r w:rsidRPr="0054431E">
        <w:rPr>
          <w:rStyle w:val="FootnoteReference"/>
        </w:rPr>
        <w:footnoteReference w:id="12"/>
      </w:r>
      <w:r w:rsidRPr="0054431E">
        <w:t xml:space="preserve"> which is not on commercial terms and is not considered by the Board to be in the interests of the company</w:t>
      </w:r>
      <w:r>
        <w:t xml:space="preserve"> (Article 8.1 (Y))</w:t>
      </w:r>
      <w:r w:rsidR="000329A5">
        <w:t>.</w:t>
      </w:r>
    </w:p>
    <w:p w14:paraId="501B3348" w14:textId="57EACF55" w:rsidR="00EB2642" w:rsidRPr="001C6254" w:rsidRDefault="00EB2642" w:rsidP="00CE1265">
      <w:pPr>
        <w:pStyle w:val="ListParagraph"/>
        <w:numPr>
          <w:ilvl w:val="0"/>
          <w:numId w:val="37"/>
        </w:numPr>
        <w:spacing w:line="240" w:lineRule="auto"/>
        <w:ind w:left="1276" w:right="96" w:hanging="567"/>
        <w:jc w:val="both"/>
        <w:rPr>
          <w:b/>
        </w:rPr>
      </w:pPr>
      <w:r w:rsidRPr="0054431E">
        <w:t xml:space="preserve">Any action in relation to the Post Office Trade Mark which prevents the Group using the Trade Mark, including sale, assignment, charging, mortgaging, granting of licence or disposal (Article </w:t>
      </w:r>
      <w:r>
        <w:t>8.1 (Z))</w:t>
      </w:r>
      <w:r w:rsidR="000329A5">
        <w:t>.</w:t>
      </w:r>
    </w:p>
    <w:p w14:paraId="2823CD13" w14:textId="473D9939" w:rsidR="00EB2642" w:rsidRDefault="00EB2642" w:rsidP="00CE1265">
      <w:pPr>
        <w:pStyle w:val="ListParagraph"/>
        <w:numPr>
          <w:ilvl w:val="0"/>
          <w:numId w:val="37"/>
        </w:numPr>
        <w:spacing w:line="240" w:lineRule="auto"/>
        <w:ind w:left="1276" w:right="96" w:hanging="567"/>
        <w:jc w:val="both"/>
      </w:pPr>
      <w:r w:rsidRPr="0054431E">
        <w:t xml:space="preserve">The borrowing of funds from any source other than another member of the Post Office Group, </w:t>
      </w:r>
      <w:r>
        <w:t>Article 8.1 (Z</w:t>
      </w:r>
      <w:r w:rsidR="00000BDF">
        <w:t>)</w:t>
      </w:r>
      <w:r>
        <w:t xml:space="preserve"> </w:t>
      </w:r>
      <w:r w:rsidR="00000BDF">
        <w:t>(</w:t>
      </w:r>
      <w:r>
        <w:t>AA)</w:t>
      </w:r>
      <w:r w:rsidRPr="0054431E">
        <w:t>)</w:t>
      </w:r>
      <w:r w:rsidR="000329A5">
        <w:t>.</w:t>
      </w:r>
    </w:p>
    <w:p w14:paraId="24296DE9" w14:textId="77777777" w:rsidR="000329A5" w:rsidRDefault="000329A5" w:rsidP="001C6254">
      <w:pPr>
        <w:pStyle w:val="ListParagraph"/>
        <w:ind w:left="709" w:right="96"/>
        <w:jc w:val="both"/>
        <w:rPr>
          <w:b/>
        </w:rPr>
      </w:pPr>
    </w:p>
    <w:p w14:paraId="56C24BB1" w14:textId="108DDB0C" w:rsidR="00D50203" w:rsidRPr="00564232" w:rsidRDefault="00E774CF" w:rsidP="00564232">
      <w:pPr>
        <w:pStyle w:val="ListParagraph"/>
        <w:numPr>
          <w:ilvl w:val="0"/>
          <w:numId w:val="2"/>
        </w:numPr>
        <w:ind w:right="95" w:hanging="720"/>
        <w:jc w:val="both"/>
        <w:rPr>
          <w:b/>
        </w:rPr>
      </w:pPr>
      <w:r w:rsidRPr="00564232">
        <w:rPr>
          <w:b/>
        </w:rPr>
        <w:t xml:space="preserve">Duties &amp; Responsibilities </w:t>
      </w:r>
    </w:p>
    <w:p w14:paraId="53CBE640" w14:textId="77777777" w:rsidR="00357BD3" w:rsidRDefault="00357BD3" w:rsidP="00357BD3">
      <w:pPr>
        <w:pStyle w:val="ListParagraph"/>
        <w:ind w:right="-514"/>
        <w:jc w:val="both"/>
        <w:rPr>
          <w:b/>
        </w:rPr>
      </w:pPr>
    </w:p>
    <w:p w14:paraId="4432AE44" w14:textId="27B501BB" w:rsidR="00D50203" w:rsidRDefault="00D50203" w:rsidP="0054170D">
      <w:pPr>
        <w:pStyle w:val="ListParagraph"/>
        <w:numPr>
          <w:ilvl w:val="0"/>
          <w:numId w:val="15"/>
        </w:numPr>
        <w:spacing w:line="240" w:lineRule="auto"/>
        <w:ind w:right="96" w:hanging="720"/>
        <w:jc w:val="both"/>
      </w:pPr>
      <w:r w:rsidRPr="00357BD3">
        <w:t>In addition to its legal duties, the Board has the following specific responsibilities:</w:t>
      </w:r>
    </w:p>
    <w:p w14:paraId="5F07812C" w14:textId="77777777" w:rsidR="0074555B" w:rsidRPr="00357BD3" w:rsidRDefault="0074555B" w:rsidP="00CE1265">
      <w:pPr>
        <w:pStyle w:val="ListParagraph"/>
        <w:numPr>
          <w:ilvl w:val="0"/>
          <w:numId w:val="38"/>
        </w:numPr>
        <w:spacing w:line="240" w:lineRule="auto"/>
        <w:ind w:left="1276" w:right="96" w:hanging="567"/>
        <w:jc w:val="both"/>
      </w:pPr>
      <w:r w:rsidRPr="00357BD3">
        <w:t xml:space="preserve">Setting the strategic direction of the </w:t>
      </w:r>
      <w:r>
        <w:t xml:space="preserve">Group </w:t>
      </w:r>
      <w:r w:rsidRPr="00357BD3">
        <w:t>b</w:t>
      </w:r>
      <w:r>
        <w:t>y developing a Group Strategic P</w:t>
      </w:r>
      <w:r w:rsidRPr="00357BD3">
        <w:t>lan and Group Business Plan</w:t>
      </w:r>
      <w:r>
        <w:t>;</w:t>
      </w:r>
    </w:p>
    <w:p w14:paraId="3DF35ABD" w14:textId="1FB8AB6F" w:rsidR="0074555B" w:rsidRPr="00357BD3" w:rsidRDefault="0074555B" w:rsidP="00CE1265">
      <w:pPr>
        <w:pStyle w:val="ListParagraph"/>
        <w:numPr>
          <w:ilvl w:val="0"/>
          <w:numId w:val="38"/>
        </w:numPr>
        <w:spacing w:line="240" w:lineRule="auto"/>
        <w:ind w:left="1276" w:right="96" w:hanging="567"/>
        <w:jc w:val="both"/>
      </w:pPr>
      <w:r w:rsidRPr="00357BD3">
        <w:t xml:space="preserve">Establishing the </w:t>
      </w:r>
      <w:r w:rsidR="0051267C">
        <w:t xml:space="preserve">Group’s </w:t>
      </w:r>
      <w:r w:rsidR="00594CB0">
        <w:t>purpose</w:t>
      </w:r>
      <w:r w:rsidR="00594CB0" w:rsidRPr="00357BD3">
        <w:t xml:space="preserve"> </w:t>
      </w:r>
      <w:r w:rsidRPr="00357BD3">
        <w:t>and values</w:t>
      </w:r>
      <w:r>
        <w:t>;</w:t>
      </w:r>
    </w:p>
    <w:p w14:paraId="3BECD1C3" w14:textId="77777777" w:rsidR="0074555B" w:rsidRPr="00357BD3" w:rsidRDefault="0074555B" w:rsidP="00CE1265">
      <w:pPr>
        <w:pStyle w:val="ListParagraph"/>
        <w:numPr>
          <w:ilvl w:val="0"/>
          <w:numId w:val="38"/>
        </w:numPr>
        <w:spacing w:line="240" w:lineRule="auto"/>
        <w:ind w:left="1276" w:right="96" w:hanging="567"/>
        <w:jc w:val="both"/>
      </w:pPr>
      <w:r w:rsidRPr="00357BD3">
        <w:t>Setting the Company’s risk appetite and ensuring a proper framework exists for the management of risk</w:t>
      </w:r>
      <w:r>
        <w:t>;</w:t>
      </w:r>
    </w:p>
    <w:p w14:paraId="0737FC29" w14:textId="77777777" w:rsidR="0074555B" w:rsidRPr="00BB33A5" w:rsidRDefault="0074555B" w:rsidP="00CE1265">
      <w:pPr>
        <w:pStyle w:val="ListParagraph"/>
        <w:numPr>
          <w:ilvl w:val="0"/>
          <w:numId w:val="38"/>
        </w:numPr>
        <w:spacing w:line="240" w:lineRule="auto"/>
        <w:ind w:left="1276" w:right="96" w:hanging="567"/>
        <w:jc w:val="both"/>
        <w:rPr>
          <w:b/>
        </w:rPr>
      </w:pPr>
      <w:r w:rsidRPr="00A35B3F">
        <w:t>Maintenance of proper accounting and tax records, as required by the Companies Act 2006</w:t>
      </w:r>
      <w:r>
        <w:t>;</w:t>
      </w:r>
    </w:p>
    <w:p w14:paraId="09D16DF7" w14:textId="77777777" w:rsidR="0074555B" w:rsidRPr="009E5C2D" w:rsidRDefault="0074555B" w:rsidP="00CE1265">
      <w:pPr>
        <w:pStyle w:val="ListParagraph"/>
        <w:numPr>
          <w:ilvl w:val="0"/>
          <w:numId w:val="38"/>
        </w:numPr>
        <w:spacing w:line="240" w:lineRule="auto"/>
        <w:ind w:left="1276" w:right="96" w:hanging="567"/>
        <w:jc w:val="both"/>
        <w:rPr>
          <w:b/>
        </w:rPr>
      </w:pPr>
      <w:r w:rsidRPr="00A35B3F">
        <w:t>Maintenance of a sound system of internal control so that the Company can meet its statutory and regulatory obligations</w:t>
      </w:r>
      <w:r>
        <w:t>;</w:t>
      </w:r>
    </w:p>
    <w:p w14:paraId="427451A1" w14:textId="77777777" w:rsidR="0074555B" w:rsidRPr="009E5C2D" w:rsidRDefault="0074555B" w:rsidP="00CE1265">
      <w:pPr>
        <w:pStyle w:val="ListParagraph"/>
        <w:numPr>
          <w:ilvl w:val="0"/>
          <w:numId w:val="38"/>
        </w:numPr>
        <w:spacing w:line="240" w:lineRule="auto"/>
        <w:ind w:left="1276" w:right="96" w:hanging="567"/>
        <w:jc w:val="both"/>
        <w:rPr>
          <w:b/>
        </w:rPr>
      </w:pPr>
      <w:r w:rsidRPr="00A35B3F">
        <w:t xml:space="preserve">Maintenance of the reputation of the </w:t>
      </w:r>
      <w:r>
        <w:t xml:space="preserve">Company </w:t>
      </w:r>
      <w:r w:rsidRPr="00A35B3F">
        <w:t xml:space="preserve">as a public institution, including consideration of new products and activities which may </w:t>
      </w:r>
      <w:r w:rsidRPr="00A35B3F">
        <w:lastRenderedPageBreak/>
        <w:t xml:space="preserve">attract public interest or have an impact on the value of the </w:t>
      </w:r>
      <w:r>
        <w:t xml:space="preserve">Company’s </w:t>
      </w:r>
      <w:r w:rsidRPr="00A35B3F">
        <w:t>brand</w:t>
      </w:r>
      <w:r>
        <w:t>;</w:t>
      </w:r>
    </w:p>
    <w:p w14:paraId="036C7079" w14:textId="6CF73991" w:rsidR="0074555B" w:rsidRPr="009E5C2D" w:rsidRDefault="0074555B" w:rsidP="00CE1265">
      <w:pPr>
        <w:pStyle w:val="ListParagraph"/>
        <w:numPr>
          <w:ilvl w:val="0"/>
          <w:numId w:val="38"/>
        </w:numPr>
        <w:spacing w:line="240" w:lineRule="auto"/>
        <w:ind w:left="1276" w:right="96" w:hanging="567"/>
        <w:jc w:val="both"/>
        <w:rPr>
          <w:b/>
        </w:rPr>
      </w:pPr>
      <w:r w:rsidRPr="00A35B3F">
        <w:t>Ensuring regular and active communications with the Shareholder, particularly on the Company’s performance against the Strategic Plan and other key indicators</w:t>
      </w:r>
      <w:r>
        <w:t>;</w:t>
      </w:r>
    </w:p>
    <w:p w14:paraId="72238368" w14:textId="3600DA49" w:rsidR="0074555B" w:rsidRPr="0074555B" w:rsidRDefault="0074555B" w:rsidP="00CE1265">
      <w:pPr>
        <w:pStyle w:val="ListParagraph"/>
        <w:numPr>
          <w:ilvl w:val="0"/>
          <w:numId w:val="38"/>
        </w:numPr>
        <w:spacing w:line="240" w:lineRule="auto"/>
        <w:ind w:left="1276" w:right="96" w:hanging="567"/>
        <w:jc w:val="both"/>
        <w:rPr>
          <w:b/>
        </w:rPr>
      </w:pPr>
      <w:r w:rsidRPr="00A35B3F">
        <w:t>Delegation of authority to Board Committees according to their respective Terms of Reference</w:t>
      </w:r>
      <w:r>
        <w:t>;</w:t>
      </w:r>
    </w:p>
    <w:p w14:paraId="5775287D" w14:textId="77777777" w:rsidR="0074555B" w:rsidRPr="009E5C2D" w:rsidRDefault="0074555B" w:rsidP="00CE1265">
      <w:pPr>
        <w:pStyle w:val="ListParagraph"/>
        <w:numPr>
          <w:ilvl w:val="0"/>
          <w:numId w:val="38"/>
        </w:numPr>
        <w:spacing w:line="240" w:lineRule="auto"/>
        <w:ind w:left="1276" w:right="96" w:hanging="567"/>
        <w:jc w:val="both"/>
        <w:rPr>
          <w:b/>
        </w:rPr>
      </w:pPr>
      <w:r>
        <w:t>Delegation of authority to the Group Chief Executive;</w:t>
      </w:r>
    </w:p>
    <w:p w14:paraId="449F190E" w14:textId="2735D428" w:rsidR="0074555B" w:rsidRPr="009E5C2D" w:rsidRDefault="0074555B" w:rsidP="00CE1265">
      <w:pPr>
        <w:pStyle w:val="ListParagraph"/>
        <w:numPr>
          <w:ilvl w:val="0"/>
          <w:numId w:val="38"/>
        </w:numPr>
        <w:spacing w:line="240" w:lineRule="auto"/>
        <w:ind w:left="1276" w:right="96" w:hanging="567"/>
        <w:jc w:val="both"/>
        <w:rPr>
          <w:b/>
        </w:rPr>
      </w:pPr>
      <w:r w:rsidRPr="00A35B3F">
        <w:t>Formal evaluation of the performance of the Board</w:t>
      </w:r>
      <w:r>
        <w:t xml:space="preserve"> and</w:t>
      </w:r>
      <w:r w:rsidRPr="00A35B3F">
        <w:t xml:space="preserve"> Board Committees</w:t>
      </w:r>
      <w:r>
        <w:t>; and</w:t>
      </w:r>
    </w:p>
    <w:p w14:paraId="2690F92A" w14:textId="55A59760" w:rsidR="0074555B" w:rsidRPr="00214860" w:rsidRDefault="0074555B" w:rsidP="00CE1265">
      <w:pPr>
        <w:pStyle w:val="ListParagraph"/>
        <w:numPr>
          <w:ilvl w:val="0"/>
          <w:numId w:val="38"/>
        </w:numPr>
        <w:spacing w:line="240" w:lineRule="auto"/>
        <w:ind w:left="1276" w:right="96" w:hanging="567"/>
        <w:jc w:val="both"/>
        <w:rPr>
          <w:b/>
        </w:rPr>
      </w:pPr>
      <w:r w:rsidRPr="001A05C4">
        <w:rPr>
          <w:rFonts w:cs="Arial"/>
          <w:color w:val="000000"/>
        </w:rPr>
        <w:t>Ensuring that any statutory or administrative requirements for the use of public funds are complied with, hav</w:t>
      </w:r>
      <w:r>
        <w:rPr>
          <w:rFonts w:cs="Arial"/>
          <w:color w:val="000000"/>
        </w:rPr>
        <w:t>ing</w:t>
      </w:r>
      <w:r w:rsidRPr="001A05C4">
        <w:rPr>
          <w:rFonts w:cs="Arial"/>
          <w:color w:val="000000"/>
        </w:rPr>
        <w:t xml:space="preserve"> regard to the requirements un</w:t>
      </w:r>
      <w:r>
        <w:rPr>
          <w:rFonts w:cs="Arial"/>
          <w:color w:val="000000"/>
        </w:rPr>
        <w:t>der the Articles of Association, the Framework Document and associated guidance.</w:t>
      </w:r>
    </w:p>
    <w:p w14:paraId="3159D825" w14:textId="77777777" w:rsidR="0074555B" w:rsidRDefault="0074555B" w:rsidP="0054170D">
      <w:pPr>
        <w:spacing w:line="240" w:lineRule="auto"/>
        <w:ind w:right="96"/>
        <w:jc w:val="both"/>
      </w:pPr>
    </w:p>
    <w:p w14:paraId="5D915B82" w14:textId="1CC0B6A9" w:rsidR="0074555B" w:rsidRDefault="0074555B" w:rsidP="00CE1265">
      <w:pPr>
        <w:pStyle w:val="ListParagraph"/>
        <w:numPr>
          <w:ilvl w:val="0"/>
          <w:numId w:val="15"/>
        </w:numPr>
        <w:spacing w:line="240" w:lineRule="auto"/>
        <w:ind w:left="709" w:right="96" w:hanging="709"/>
        <w:jc w:val="both"/>
      </w:pPr>
      <w:r>
        <w:t xml:space="preserve">Pursuant to </w:t>
      </w:r>
      <w:r w:rsidRPr="007B48D0">
        <w:t>Article 4</w:t>
      </w:r>
      <w:r>
        <w:t>9</w:t>
      </w:r>
      <w:r w:rsidRPr="007B48D0">
        <w:t>, the Board may delegate any of the powers conferred to them under the Articles to any executive director or committee as they see fit. Whilst the Board may choose to so delegate, the following matters are reserved to the Board</w:t>
      </w:r>
      <w:r>
        <w:t>, unless a specific delegation is in place</w:t>
      </w:r>
      <w:r w:rsidR="005D5634">
        <w:t xml:space="preserve"> (t</w:t>
      </w:r>
      <w:r>
        <w:t>he Board may revoke any delegated authority granted</w:t>
      </w:r>
      <w:r w:rsidR="005D5634">
        <w:t>)</w:t>
      </w:r>
      <w:r w:rsidRPr="007B48D0">
        <w:t>:</w:t>
      </w:r>
    </w:p>
    <w:p w14:paraId="056E4C62" w14:textId="77777777" w:rsidR="00112DB9" w:rsidRDefault="00112DB9" w:rsidP="00112DB9">
      <w:pPr>
        <w:pStyle w:val="ListParagraph"/>
        <w:ind w:left="709" w:right="95"/>
        <w:jc w:val="both"/>
        <w:rPr>
          <w:i/>
        </w:rPr>
      </w:pPr>
    </w:p>
    <w:p w14:paraId="51FDBD56" w14:textId="6A532010" w:rsidR="00112DB9" w:rsidRDefault="00112DB9" w:rsidP="00CE1265">
      <w:pPr>
        <w:pStyle w:val="ListParagraph"/>
        <w:numPr>
          <w:ilvl w:val="0"/>
          <w:numId w:val="25"/>
        </w:numPr>
        <w:spacing w:line="240" w:lineRule="auto"/>
        <w:ind w:left="1276" w:hanging="567"/>
        <w:jc w:val="both"/>
      </w:pPr>
      <w:r w:rsidRPr="00BF054D">
        <w:rPr>
          <w:b/>
        </w:rPr>
        <w:t>Approve</w:t>
      </w:r>
      <w:r w:rsidRPr="007B48D0">
        <w:t xml:space="preserve"> </w:t>
      </w:r>
      <w:r w:rsidR="00862CA7">
        <w:t>for recommendation</w:t>
      </w:r>
      <w:r w:rsidRPr="007B48D0">
        <w:t xml:space="preserve"> to the Shareholder on those matters requiring Shareholder consent, as specified in the Articles (see paragraph </w:t>
      </w:r>
      <w:r>
        <w:t>B</w:t>
      </w:r>
      <w:r w:rsidRPr="007B48D0">
        <w:t xml:space="preserve"> </w:t>
      </w:r>
      <w:r>
        <w:t>above</w:t>
      </w:r>
      <w:r w:rsidRPr="007B48D0">
        <w:t>)</w:t>
      </w:r>
      <w:r w:rsidR="005D5634">
        <w:rPr>
          <w:rStyle w:val="FootnoteReference"/>
        </w:rPr>
        <w:footnoteReference w:id="13"/>
      </w:r>
      <w:r w:rsidR="005D5634">
        <w:t>;</w:t>
      </w:r>
    </w:p>
    <w:p w14:paraId="56930833" w14:textId="77777777" w:rsidR="00BF054D" w:rsidRDefault="00BF054D" w:rsidP="0054170D">
      <w:pPr>
        <w:pStyle w:val="ListParagraph"/>
        <w:spacing w:line="240" w:lineRule="auto"/>
        <w:ind w:left="1134"/>
        <w:jc w:val="both"/>
      </w:pPr>
    </w:p>
    <w:p w14:paraId="3C181A3D" w14:textId="77777777" w:rsidR="00BF054D" w:rsidRPr="00BF054D" w:rsidRDefault="00BF054D" w:rsidP="00CE1265">
      <w:pPr>
        <w:pStyle w:val="ListParagraph"/>
        <w:spacing w:line="240" w:lineRule="auto"/>
        <w:ind w:left="709" w:right="95"/>
        <w:jc w:val="both"/>
        <w:rPr>
          <w:i/>
        </w:rPr>
      </w:pPr>
      <w:r w:rsidRPr="00BF054D">
        <w:rPr>
          <w:i/>
        </w:rPr>
        <w:t>Strategy &amp; Management</w:t>
      </w:r>
    </w:p>
    <w:p w14:paraId="43D5560E" w14:textId="77777777" w:rsidR="00BF054D" w:rsidRDefault="00BF054D" w:rsidP="0054170D">
      <w:pPr>
        <w:pStyle w:val="ListParagraph"/>
        <w:spacing w:line="240" w:lineRule="auto"/>
        <w:ind w:left="1134"/>
        <w:jc w:val="both"/>
      </w:pPr>
    </w:p>
    <w:p w14:paraId="3D48D069" w14:textId="77777777" w:rsidR="00BF054D" w:rsidRDefault="0074555B" w:rsidP="00CE1265">
      <w:pPr>
        <w:pStyle w:val="ListParagraph"/>
        <w:numPr>
          <w:ilvl w:val="0"/>
          <w:numId w:val="25"/>
        </w:numPr>
        <w:spacing w:line="240" w:lineRule="auto"/>
        <w:ind w:left="1276" w:hanging="567"/>
        <w:jc w:val="both"/>
      </w:pPr>
      <w:r w:rsidRPr="00BF054D">
        <w:rPr>
          <w:b/>
        </w:rPr>
        <w:t xml:space="preserve">Approve </w:t>
      </w:r>
      <w:r w:rsidRPr="007B48D0">
        <w:t xml:space="preserve">the </w:t>
      </w:r>
      <w:r>
        <w:t>Group</w:t>
      </w:r>
      <w:r w:rsidR="00832916">
        <w:t xml:space="preserve">’s </w:t>
      </w:r>
      <w:r w:rsidR="0082320B">
        <w:t>purpose</w:t>
      </w:r>
      <w:r w:rsidR="00F253AE">
        <w:t>,</w:t>
      </w:r>
      <w:r>
        <w:t xml:space="preserve"> and </w:t>
      </w:r>
      <w:r w:rsidR="00BF054D">
        <w:t>values</w:t>
      </w:r>
      <w:r w:rsidRPr="007B48D0">
        <w:t>;</w:t>
      </w:r>
    </w:p>
    <w:p w14:paraId="05D7C6B9" w14:textId="77777777" w:rsidR="00BF054D" w:rsidRPr="00BF054D" w:rsidRDefault="00F253AE" w:rsidP="00CE1265">
      <w:pPr>
        <w:pStyle w:val="ListParagraph"/>
        <w:numPr>
          <w:ilvl w:val="0"/>
          <w:numId w:val="25"/>
        </w:numPr>
        <w:spacing w:line="240" w:lineRule="auto"/>
        <w:ind w:left="1276" w:hanging="567"/>
        <w:jc w:val="both"/>
        <w:rPr>
          <w:rStyle w:val="normaltextrun"/>
        </w:rPr>
      </w:pPr>
      <w:r w:rsidRPr="00BF054D">
        <w:rPr>
          <w:b/>
        </w:rPr>
        <w:t>Approve</w:t>
      </w:r>
      <w:r>
        <w:t xml:space="preserve"> the Funding Agreement with the Shareholder and </w:t>
      </w:r>
      <w:r w:rsidRPr="00BF054D">
        <w:rPr>
          <w:rStyle w:val="normaltextrun"/>
          <w:color w:val="000000"/>
          <w:shd w:val="clear" w:color="auto" w:fill="FFFFFF"/>
        </w:rPr>
        <w:t>monitoring of the achievement of milestones contained within the plan;</w:t>
      </w:r>
    </w:p>
    <w:p w14:paraId="2E114CA6" w14:textId="77777777" w:rsidR="00BF054D" w:rsidRDefault="00F253AE" w:rsidP="00CE1265">
      <w:pPr>
        <w:pStyle w:val="ListParagraph"/>
        <w:numPr>
          <w:ilvl w:val="0"/>
          <w:numId w:val="25"/>
        </w:numPr>
        <w:spacing w:line="240" w:lineRule="auto"/>
        <w:ind w:left="1276" w:hanging="567"/>
        <w:jc w:val="both"/>
      </w:pPr>
      <w:r w:rsidRPr="00BF054D">
        <w:rPr>
          <w:b/>
        </w:rPr>
        <w:t>Approve</w:t>
      </w:r>
      <w:r w:rsidRPr="00112DB9">
        <w:t xml:space="preserve"> the adoption of and </w:t>
      </w:r>
      <w:r w:rsidRPr="00BF054D">
        <w:rPr>
          <w:b/>
        </w:rPr>
        <w:t>review</w:t>
      </w:r>
      <w:r w:rsidRPr="00112DB9">
        <w:t xml:space="preserve"> annually the criteria for </w:t>
      </w:r>
      <w:r w:rsidRPr="002B6A2A">
        <w:t>measurement of performance (Key Performance Indicators) and management</w:t>
      </w:r>
      <w:r w:rsidR="002E74C4">
        <w:rPr>
          <w:rStyle w:val="FootnoteReference"/>
        </w:rPr>
        <w:footnoteReference w:id="14"/>
      </w:r>
      <w:r w:rsidRPr="002B6A2A">
        <w:t>;</w:t>
      </w:r>
    </w:p>
    <w:p w14:paraId="7CE1FB77" w14:textId="77777777" w:rsidR="00BF054D" w:rsidRDefault="00F253AE" w:rsidP="00CE1265">
      <w:pPr>
        <w:pStyle w:val="ListParagraph"/>
        <w:numPr>
          <w:ilvl w:val="0"/>
          <w:numId w:val="25"/>
        </w:numPr>
        <w:spacing w:line="240" w:lineRule="auto"/>
        <w:ind w:left="1276" w:hanging="567"/>
        <w:jc w:val="both"/>
      </w:pPr>
      <w:r w:rsidRPr="00BF054D">
        <w:rPr>
          <w:b/>
        </w:rPr>
        <w:t xml:space="preserve">Review </w:t>
      </w:r>
      <w:r w:rsidRPr="002B6A2A">
        <w:t>and</w:t>
      </w:r>
      <w:r w:rsidRPr="00BF054D">
        <w:rPr>
          <w:b/>
        </w:rPr>
        <w:t xml:space="preserve"> monitor </w:t>
      </w:r>
      <w:r w:rsidRPr="002B6A2A">
        <w:t xml:space="preserve">necessary corrective action required in light of reviews of performance against the </w:t>
      </w:r>
      <w:r w:rsidR="00112DB9" w:rsidRPr="002B6A2A">
        <w:t>Group</w:t>
      </w:r>
      <w:r w:rsidRPr="002B6A2A">
        <w:t xml:space="preserve"> Business Plan;</w:t>
      </w:r>
    </w:p>
    <w:p w14:paraId="6C5F9F2A" w14:textId="77777777" w:rsidR="00BF054D" w:rsidRDefault="00343A2A" w:rsidP="00CE1265">
      <w:pPr>
        <w:pStyle w:val="ListParagraph"/>
        <w:numPr>
          <w:ilvl w:val="0"/>
          <w:numId w:val="25"/>
        </w:numPr>
        <w:spacing w:line="240" w:lineRule="auto"/>
        <w:ind w:left="1276" w:hanging="567"/>
        <w:jc w:val="both"/>
      </w:pPr>
      <w:r w:rsidRPr="00BF054D">
        <w:rPr>
          <w:b/>
        </w:rPr>
        <w:t>Approve</w:t>
      </w:r>
      <w:r>
        <w:t xml:space="preserve"> succession plans for directors of Group Companies and </w:t>
      </w:r>
      <w:r w:rsidRPr="00BF054D">
        <w:rPr>
          <w:b/>
        </w:rPr>
        <w:t>monitor</w:t>
      </w:r>
      <w:r>
        <w:t xml:space="preserve"> diversity, talent management and succession plans for senior leaders of the Group (delegated to the Remunerati</w:t>
      </w:r>
      <w:r w:rsidR="002D13FB">
        <w:t>on and Nominations Committees).</w:t>
      </w:r>
    </w:p>
    <w:p w14:paraId="79639DFE" w14:textId="77777777" w:rsidR="0054170D" w:rsidRDefault="0054170D" w:rsidP="00BF054D">
      <w:pPr>
        <w:ind w:left="567"/>
        <w:jc w:val="both"/>
        <w:rPr>
          <w:i/>
        </w:rPr>
      </w:pPr>
    </w:p>
    <w:p w14:paraId="790DC297" w14:textId="77777777" w:rsidR="00BF054D" w:rsidRPr="00BF054D" w:rsidRDefault="00BF054D" w:rsidP="00CE1265">
      <w:pPr>
        <w:ind w:left="709"/>
        <w:jc w:val="both"/>
        <w:rPr>
          <w:i/>
        </w:rPr>
      </w:pPr>
      <w:r w:rsidRPr="00BF054D">
        <w:rPr>
          <w:i/>
        </w:rPr>
        <w:t>Ownership, Capital Structure &amp; Constitution</w:t>
      </w:r>
      <w:r>
        <w:rPr>
          <w:rStyle w:val="FootnoteReference"/>
          <w:i/>
        </w:rPr>
        <w:footnoteReference w:id="15"/>
      </w:r>
    </w:p>
    <w:p w14:paraId="19AC10D0" w14:textId="77777777" w:rsidR="00BF054D" w:rsidRDefault="00BF054D" w:rsidP="00BF054D">
      <w:pPr>
        <w:pStyle w:val="ListParagraph"/>
        <w:ind w:left="1134"/>
        <w:jc w:val="both"/>
      </w:pPr>
    </w:p>
    <w:p w14:paraId="7233EED2" w14:textId="77777777" w:rsidR="00BF054D" w:rsidRPr="00BF054D" w:rsidRDefault="002B6A2A" w:rsidP="00CE1265">
      <w:pPr>
        <w:pStyle w:val="ListParagraph"/>
        <w:numPr>
          <w:ilvl w:val="0"/>
          <w:numId w:val="25"/>
        </w:numPr>
        <w:spacing w:line="240" w:lineRule="auto"/>
        <w:ind w:left="1276" w:hanging="567"/>
        <w:jc w:val="both"/>
        <w:rPr>
          <w:rStyle w:val="normaltextrun"/>
        </w:rPr>
      </w:pPr>
      <w:r w:rsidRPr="00BF054D">
        <w:rPr>
          <w:b/>
        </w:rPr>
        <w:t xml:space="preserve">Approve </w:t>
      </w:r>
      <w:r w:rsidRPr="002B6A2A">
        <w:t>the change</w:t>
      </w:r>
      <w:r w:rsidRPr="00BF054D">
        <w:rPr>
          <w:b/>
        </w:rPr>
        <w:t xml:space="preserve"> </w:t>
      </w:r>
      <w:r w:rsidRPr="00BF054D">
        <w:rPr>
          <w:rStyle w:val="normaltextrun"/>
          <w:color w:val="000000"/>
          <w:shd w:val="clear" w:color="auto" w:fill="FFFFFF"/>
        </w:rPr>
        <w:t>of the Company Name, trading name or Registered Office for any member of the Group</w:t>
      </w:r>
      <w:r w:rsidR="00BF054D">
        <w:rPr>
          <w:rStyle w:val="normaltextrun"/>
          <w:color w:val="000000"/>
          <w:shd w:val="clear" w:color="auto" w:fill="FFFFFF"/>
        </w:rPr>
        <w:t>;</w:t>
      </w:r>
    </w:p>
    <w:p w14:paraId="42DC8B6F" w14:textId="77777777" w:rsidR="00BF054D" w:rsidRDefault="00BF054D" w:rsidP="0054170D">
      <w:pPr>
        <w:pStyle w:val="ListParagraph"/>
        <w:spacing w:line="240" w:lineRule="auto"/>
        <w:ind w:left="1418" w:hanging="709"/>
        <w:jc w:val="both"/>
        <w:rPr>
          <w:i/>
        </w:rPr>
      </w:pPr>
    </w:p>
    <w:p w14:paraId="0A6A8FF1" w14:textId="77777777" w:rsidR="00BF054D" w:rsidRDefault="00112DB9" w:rsidP="00CE1265">
      <w:pPr>
        <w:pStyle w:val="ListParagraph"/>
        <w:spacing w:line="240" w:lineRule="auto"/>
        <w:ind w:left="1276" w:hanging="567"/>
        <w:jc w:val="both"/>
        <w:rPr>
          <w:i/>
        </w:rPr>
      </w:pPr>
      <w:r w:rsidRPr="00BF054D">
        <w:rPr>
          <w:i/>
        </w:rPr>
        <w:t>Financial Reporting &amp; Controls</w:t>
      </w:r>
    </w:p>
    <w:p w14:paraId="21DDF8B1" w14:textId="77777777" w:rsidR="00BF054D" w:rsidRPr="00BF054D" w:rsidRDefault="00BF054D" w:rsidP="0054170D">
      <w:pPr>
        <w:pStyle w:val="ListParagraph"/>
        <w:spacing w:line="240" w:lineRule="auto"/>
        <w:ind w:left="1418" w:hanging="709"/>
        <w:jc w:val="both"/>
      </w:pPr>
    </w:p>
    <w:p w14:paraId="6B271FCC" w14:textId="77777777" w:rsidR="00BF054D" w:rsidRDefault="0074555B" w:rsidP="00CE1265">
      <w:pPr>
        <w:pStyle w:val="ListParagraph"/>
        <w:numPr>
          <w:ilvl w:val="0"/>
          <w:numId w:val="25"/>
        </w:numPr>
        <w:spacing w:line="240" w:lineRule="auto"/>
        <w:ind w:left="1276" w:hanging="567"/>
        <w:jc w:val="both"/>
      </w:pPr>
      <w:r w:rsidRPr="00BF054D">
        <w:rPr>
          <w:b/>
        </w:rPr>
        <w:t xml:space="preserve">Approve </w:t>
      </w:r>
      <w:r w:rsidRPr="001307C5">
        <w:t>the Annual Report and Accounts</w:t>
      </w:r>
      <w:r w:rsidR="00112DB9" w:rsidRPr="001307C5">
        <w:t xml:space="preserve"> (on recommendation from the Audit, Risk and Compliance Committee)</w:t>
      </w:r>
      <w:r w:rsidRPr="001307C5">
        <w:t>;</w:t>
      </w:r>
    </w:p>
    <w:p w14:paraId="35C118B0" w14:textId="77777777" w:rsidR="00BF054D" w:rsidRDefault="0074555B" w:rsidP="00CE1265">
      <w:pPr>
        <w:pStyle w:val="ListParagraph"/>
        <w:numPr>
          <w:ilvl w:val="0"/>
          <w:numId w:val="25"/>
        </w:numPr>
        <w:spacing w:line="240" w:lineRule="auto"/>
        <w:ind w:left="1276" w:hanging="567"/>
        <w:jc w:val="both"/>
      </w:pPr>
      <w:r w:rsidRPr="00BF054D">
        <w:rPr>
          <w:b/>
        </w:rPr>
        <w:t>Approve</w:t>
      </w:r>
      <w:r w:rsidRPr="001307C5">
        <w:t xml:space="preserve"> the half-yearly results</w:t>
      </w:r>
      <w:r w:rsidRPr="00BF054D">
        <w:rPr>
          <w:vertAlign w:val="superscript"/>
        </w:rPr>
        <w:footnoteReference w:id="16"/>
      </w:r>
      <w:r w:rsidR="00112DB9" w:rsidRPr="001307C5">
        <w:t xml:space="preserve"> (on recommendation from the Audit, Risk and Compliance Committee)</w:t>
      </w:r>
      <w:r w:rsidRPr="001307C5">
        <w:t xml:space="preserve">; </w:t>
      </w:r>
    </w:p>
    <w:p w14:paraId="442CAD5B" w14:textId="77777777" w:rsidR="00BF054D" w:rsidRDefault="00112DB9" w:rsidP="00CE1265">
      <w:pPr>
        <w:pStyle w:val="ListParagraph"/>
        <w:numPr>
          <w:ilvl w:val="0"/>
          <w:numId w:val="25"/>
        </w:numPr>
        <w:spacing w:line="240" w:lineRule="auto"/>
        <w:ind w:left="1276" w:hanging="567"/>
        <w:jc w:val="both"/>
      </w:pPr>
      <w:r w:rsidRPr="00BF054D">
        <w:rPr>
          <w:b/>
        </w:rPr>
        <w:t>Approve</w:t>
      </w:r>
      <w:r w:rsidRPr="001307C5">
        <w:t xml:space="preserve"> the recommendation for declaration of dividend and payment of interim dividend</w:t>
      </w:r>
      <w:r w:rsidR="00FA0A53" w:rsidRPr="001307C5">
        <w:t xml:space="preserve"> </w:t>
      </w:r>
      <w:r w:rsidRPr="001307C5">
        <w:t>(within the Group Strategic Plan) (Articles 68 – 69)</w:t>
      </w:r>
      <w:r w:rsidRPr="00BF054D">
        <w:rPr>
          <w:vertAlign w:val="superscript"/>
        </w:rPr>
        <w:footnoteReference w:id="17"/>
      </w:r>
      <w:r w:rsidRPr="001307C5">
        <w:t>;</w:t>
      </w:r>
    </w:p>
    <w:p w14:paraId="7E919AD3" w14:textId="596383A7" w:rsidR="00BF054D" w:rsidRDefault="00112DB9" w:rsidP="00CE1265">
      <w:pPr>
        <w:pStyle w:val="ListParagraph"/>
        <w:numPr>
          <w:ilvl w:val="0"/>
          <w:numId w:val="25"/>
        </w:numPr>
        <w:spacing w:line="240" w:lineRule="auto"/>
        <w:ind w:left="1276" w:hanging="567"/>
        <w:jc w:val="both"/>
      </w:pPr>
      <w:r w:rsidRPr="00BF054D">
        <w:rPr>
          <w:b/>
        </w:rPr>
        <w:t xml:space="preserve">Approve </w:t>
      </w:r>
      <w:r w:rsidRPr="001307C5">
        <w:t xml:space="preserve">the </w:t>
      </w:r>
      <w:r w:rsidR="002744BC">
        <w:t xml:space="preserve">Risk Policy incorporating the approach to risk appetite </w:t>
      </w:r>
      <w:r w:rsidRPr="001307C5">
        <w:t>(</w:t>
      </w:r>
      <w:r w:rsidR="00FA0A53" w:rsidRPr="001307C5">
        <w:t>on</w:t>
      </w:r>
      <w:r w:rsidRPr="001307C5">
        <w:t xml:space="preserve"> recommendation</w:t>
      </w:r>
      <w:r w:rsidR="00FA0A53" w:rsidRPr="001307C5">
        <w:t xml:space="preserve"> </w:t>
      </w:r>
      <w:r w:rsidRPr="001307C5">
        <w:t>from the Audit, Risk &amp; Compliance Committee);</w:t>
      </w:r>
      <w:r w:rsidR="002744BC">
        <w:rPr>
          <w:rStyle w:val="FootnoteReference"/>
        </w:rPr>
        <w:footnoteReference w:id="18"/>
      </w:r>
    </w:p>
    <w:p w14:paraId="49BE87D5" w14:textId="33BCC6C4" w:rsidR="00BF054D" w:rsidRDefault="00112DB9" w:rsidP="00CE1265">
      <w:pPr>
        <w:pStyle w:val="ListParagraph"/>
        <w:numPr>
          <w:ilvl w:val="0"/>
          <w:numId w:val="25"/>
        </w:numPr>
        <w:spacing w:line="240" w:lineRule="auto"/>
        <w:ind w:left="1276" w:hanging="567"/>
        <w:jc w:val="both"/>
      </w:pPr>
      <w:r w:rsidRPr="00BF054D">
        <w:rPr>
          <w:b/>
        </w:rPr>
        <w:t xml:space="preserve">Review </w:t>
      </w:r>
      <w:r w:rsidRPr="001307C5">
        <w:t>the Company’s risk management systems, internal controls and key systems  (delegated to the Audit, Risk &amp; Compliance Committee);</w:t>
      </w:r>
      <w:r w:rsidR="00E026E0">
        <w:rPr>
          <w:rStyle w:val="FootnoteReference"/>
        </w:rPr>
        <w:footnoteReference w:id="19"/>
      </w:r>
    </w:p>
    <w:p w14:paraId="1145610D" w14:textId="77777777" w:rsidR="00BF054D" w:rsidRDefault="00FA0A53" w:rsidP="00CE1265">
      <w:pPr>
        <w:pStyle w:val="ListParagraph"/>
        <w:numPr>
          <w:ilvl w:val="0"/>
          <w:numId w:val="25"/>
        </w:numPr>
        <w:spacing w:line="240" w:lineRule="auto"/>
        <w:ind w:left="1276" w:hanging="567"/>
        <w:jc w:val="both"/>
      </w:pPr>
      <w:r w:rsidRPr="00BF054D">
        <w:rPr>
          <w:b/>
        </w:rPr>
        <w:t>Approve</w:t>
      </w:r>
      <w:r w:rsidRPr="001307C5">
        <w:t xml:space="preserve"> changes to accounting reference date, practice or policy by the Company as required by law or generally accepted accounting principles (delegated to the Audit, Risk &amp; Compliance Committee)</w:t>
      </w:r>
      <w:r w:rsidR="00BF054D">
        <w:t>;</w:t>
      </w:r>
    </w:p>
    <w:p w14:paraId="53BB4A65" w14:textId="1AC26AD7" w:rsidR="00BF054D" w:rsidRDefault="00715F37" w:rsidP="00CE1265">
      <w:pPr>
        <w:pStyle w:val="ListParagraph"/>
        <w:numPr>
          <w:ilvl w:val="0"/>
          <w:numId w:val="25"/>
        </w:numPr>
        <w:spacing w:line="240" w:lineRule="auto"/>
        <w:ind w:left="1276" w:hanging="567"/>
        <w:jc w:val="both"/>
      </w:pPr>
      <w:r w:rsidRPr="00BF054D">
        <w:rPr>
          <w:b/>
        </w:rPr>
        <w:t>Approve</w:t>
      </w:r>
      <w:r w:rsidR="00F4287C" w:rsidRPr="001307C5">
        <w:t xml:space="preserve"> of Group treasury, including methods of mitigating against foreign currency exposure and any use of financial derivatives (delegated to the Audit, Risk &amp; Compliance Committee);</w:t>
      </w:r>
    </w:p>
    <w:p w14:paraId="7BDD5B8B" w14:textId="30A95694" w:rsidR="00BF054D" w:rsidRPr="002C1E65" w:rsidRDefault="00F4287C" w:rsidP="00CE1265">
      <w:pPr>
        <w:pStyle w:val="ListParagraph"/>
        <w:numPr>
          <w:ilvl w:val="0"/>
          <w:numId w:val="25"/>
        </w:numPr>
        <w:spacing w:line="240" w:lineRule="auto"/>
        <w:ind w:left="1276" w:hanging="567"/>
        <w:jc w:val="both"/>
      </w:pPr>
      <w:r w:rsidRPr="00BF054D">
        <w:rPr>
          <w:b/>
        </w:rPr>
        <w:t>Monitor</w:t>
      </w:r>
      <w:r w:rsidRPr="001307C5">
        <w:t xml:space="preserve"> the independence of the external auditor (delegated to the Audi</w:t>
      </w:r>
      <w:r w:rsidR="001307C5" w:rsidRPr="001307C5">
        <w:t>t, Risk &amp; Compliance Committee</w:t>
      </w:r>
      <w:r w:rsidR="002C1E65">
        <w:rPr>
          <w:rFonts w:cs="ChevinLight"/>
        </w:rPr>
        <w:t xml:space="preserve">); </w:t>
      </w:r>
    </w:p>
    <w:p w14:paraId="44CE1285" w14:textId="35E8C91C" w:rsidR="002C1E65" w:rsidRDefault="002C1E65" w:rsidP="00CE1265">
      <w:pPr>
        <w:pStyle w:val="ListParagraph"/>
        <w:numPr>
          <w:ilvl w:val="0"/>
          <w:numId w:val="25"/>
        </w:numPr>
        <w:spacing w:line="240" w:lineRule="auto"/>
        <w:ind w:left="1276" w:hanging="567"/>
        <w:jc w:val="both"/>
      </w:pPr>
      <w:r>
        <w:rPr>
          <w:b/>
        </w:rPr>
        <w:t xml:space="preserve">Approve </w:t>
      </w:r>
      <w:r w:rsidRPr="002C1E65">
        <w:t xml:space="preserve">the appointment </w:t>
      </w:r>
      <w:r>
        <w:t xml:space="preserve">or termination of appointment </w:t>
      </w:r>
      <w:r w:rsidRPr="002C1E65">
        <w:t>of the Head of Internal Audit,</w:t>
      </w:r>
      <w:r>
        <w:t xml:space="preserve"> and </w:t>
      </w:r>
      <w:r w:rsidRPr="002C1E65">
        <w:rPr>
          <w:b/>
        </w:rPr>
        <w:t>approve</w:t>
      </w:r>
      <w:r>
        <w:t xml:space="preserve"> the</w:t>
      </w:r>
      <w:r w:rsidRPr="002C1E65">
        <w:t xml:space="preserve"> Int</w:t>
      </w:r>
      <w:r>
        <w:t>ernal Audit Charter and annual Internal Audit P</w:t>
      </w:r>
      <w:r w:rsidRPr="002C1E65">
        <w:t>lans (delegated to the Audit, Risk &amp; Compliance Committee);</w:t>
      </w:r>
    </w:p>
    <w:p w14:paraId="6AF8E925" w14:textId="77777777" w:rsidR="00E92CB9" w:rsidRDefault="00BA50B9" w:rsidP="00CE1265">
      <w:pPr>
        <w:pStyle w:val="ListParagraph"/>
        <w:numPr>
          <w:ilvl w:val="0"/>
          <w:numId w:val="25"/>
        </w:numPr>
        <w:spacing w:line="240" w:lineRule="auto"/>
        <w:ind w:left="1276" w:hanging="567"/>
        <w:jc w:val="both"/>
      </w:pPr>
      <w:r>
        <w:rPr>
          <w:rFonts w:cs="Arial"/>
          <w:b/>
          <w:color w:val="000000" w:themeColor="text1"/>
        </w:rPr>
        <w:t>A</w:t>
      </w:r>
      <w:r w:rsidRPr="00C54A29">
        <w:rPr>
          <w:rFonts w:cs="Arial"/>
          <w:b/>
          <w:color w:val="000000" w:themeColor="text1"/>
        </w:rPr>
        <w:t>pprove</w:t>
      </w:r>
      <w:r w:rsidRPr="4C2DD84B">
        <w:rPr>
          <w:rFonts w:cs="Arial"/>
          <w:color w:val="000000" w:themeColor="text1"/>
        </w:rPr>
        <w:t xml:space="preserve"> the agreed annual external audit plans and approach to risk assessment and the</w:t>
      </w:r>
      <w:r>
        <w:rPr>
          <w:rFonts w:cs="Arial"/>
          <w:color w:val="000000" w:themeColor="text1"/>
        </w:rPr>
        <w:t xml:space="preserve"> scope and plan of their audits </w:t>
      </w:r>
      <w:r w:rsidRPr="002C1E65">
        <w:t>(delegated to the Audit, Risk &amp; Compliance Committee);</w:t>
      </w:r>
    </w:p>
    <w:p w14:paraId="296DEE73" w14:textId="5A8DDCC3" w:rsidR="00E92CB9" w:rsidRPr="00E92CB9" w:rsidRDefault="00E92CB9" w:rsidP="00CE1265">
      <w:pPr>
        <w:pStyle w:val="ListParagraph"/>
        <w:numPr>
          <w:ilvl w:val="0"/>
          <w:numId w:val="25"/>
        </w:numPr>
        <w:spacing w:line="240" w:lineRule="auto"/>
        <w:ind w:left="1276" w:hanging="567"/>
        <w:jc w:val="both"/>
      </w:pPr>
      <w:r w:rsidRPr="00E92CB9">
        <w:rPr>
          <w:rFonts w:cs="Arial"/>
          <w:b/>
          <w:color w:val="000000"/>
        </w:rPr>
        <w:t>Approve</w:t>
      </w:r>
      <w:r w:rsidRPr="00E92CB9">
        <w:rPr>
          <w:rFonts w:cs="Arial"/>
          <w:color w:val="000000"/>
        </w:rPr>
        <w:t xml:space="preserve"> the Group’s policy on non</w:t>
      </w:r>
      <w:r>
        <w:rPr>
          <w:rFonts w:cs="Arial"/>
          <w:color w:val="000000"/>
        </w:rPr>
        <w:t xml:space="preserve">-audit services by the auditor </w:t>
      </w:r>
      <w:r w:rsidRPr="002C1E65">
        <w:t>(delegated to the Audit, Risk &amp; Compliance Committee);</w:t>
      </w:r>
    </w:p>
    <w:p w14:paraId="372FB796" w14:textId="3AB698B9" w:rsidR="00BF054D" w:rsidRPr="00A57D1C" w:rsidRDefault="00BF054D" w:rsidP="0054170D">
      <w:pPr>
        <w:spacing w:line="240" w:lineRule="auto"/>
        <w:ind w:left="709"/>
        <w:jc w:val="both"/>
      </w:pPr>
    </w:p>
    <w:p w14:paraId="52570E59" w14:textId="3B89B76A" w:rsidR="00BF054D" w:rsidRDefault="00112DB9" w:rsidP="00CE1265">
      <w:pPr>
        <w:pStyle w:val="ListParagraph"/>
        <w:spacing w:line="240" w:lineRule="auto"/>
        <w:ind w:left="993" w:hanging="284"/>
        <w:jc w:val="both"/>
        <w:rPr>
          <w:i/>
        </w:rPr>
      </w:pPr>
      <w:r w:rsidRPr="00BF054D">
        <w:rPr>
          <w:i/>
        </w:rPr>
        <w:t>Financial Commitments</w:t>
      </w:r>
    </w:p>
    <w:p w14:paraId="390BAE5E" w14:textId="77777777" w:rsidR="0054170D" w:rsidRDefault="0054170D" w:rsidP="0054170D">
      <w:pPr>
        <w:pStyle w:val="ListParagraph"/>
        <w:spacing w:line="240" w:lineRule="auto"/>
        <w:ind w:left="993" w:hanging="426"/>
        <w:jc w:val="both"/>
        <w:rPr>
          <w:i/>
        </w:rPr>
      </w:pPr>
    </w:p>
    <w:p w14:paraId="46790659" w14:textId="63574C5D" w:rsidR="00384AD7" w:rsidRPr="00384AD7" w:rsidRDefault="00384AD7" w:rsidP="00B258FA">
      <w:pPr>
        <w:pStyle w:val="NormalWeb"/>
        <w:numPr>
          <w:ilvl w:val="0"/>
          <w:numId w:val="25"/>
        </w:numPr>
        <w:spacing w:before="0" w:beforeAutospacing="0" w:after="0" w:afterAutospacing="0"/>
        <w:ind w:left="1276" w:hanging="567"/>
        <w:jc w:val="both"/>
        <w:rPr>
          <w:rFonts w:ascii="Verdana" w:hAnsi="Verdana"/>
          <w:color w:val="000000"/>
          <w:sz w:val="22"/>
          <w:szCs w:val="22"/>
        </w:rPr>
      </w:pPr>
      <w:r w:rsidRPr="00585C87">
        <w:rPr>
          <w:rFonts w:ascii="Verdana" w:hAnsi="Verdana"/>
          <w:b/>
          <w:bCs/>
          <w:color w:val="000000"/>
          <w:sz w:val="22"/>
          <w:szCs w:val="22"/>
        </w:rPr>
        <w:t>Approve</w:t>
      </w:r>
      <w:r w:rsidRPr="00384AD7">
        <w:rPr>
          <w:rFonts w:ascii="Verdana" w:hAnsi="Verdana"/>
          <w:color w:val="000000"/>
          <w:sz w:val="22"/>
          <w:szCs w:val="22"/>
        </w:rPr>
        <w:t xml:space="preserve"> the entry into or implementation of a transaction (</w:t>
      </w:r>
      <w:r w:rsidR="0027191A">
        <w:rPr>
          <w:rFonts w:ascii="Verdana" w:hAnsi="Verdana"/>
          <w:color w:val="000000"/>
          <w:sz w:val="22"/>
          <w:szCs w:val="22"/>
        </w:rPr>
        <w:t xml:space="preserve">for </w:t>
      </w:r>
      <w:r w:rsidRPr="00384AD7">
        <w:rPr>
          <w:rFonts w:ascii="Verdana" w:hAnsi="Verdana"/>
          <w:color w:val="000000"/>
          <w:sz w:val="22"/>
          <w:szCs w:val="22"/>
        </w:rPr>
        <w:t>OPEX</w:t>
      </w:r>
      <w:r w:rsidR="0027191A">
        <w:rPr>
          <w:rFonts w:ascii="Verdana" w:hAnsi="Verdana"/>
          <w:color w:val="000000"/>
          <w:sz w:val="22"/>
          <w:szCs w:val="22"/>
        </w:rPr>
        <w:t xml:space="preserve"> or change</w:t>
      </w:r>
      <w:r w:rsidRPr="00384AD7">
        <w:rPr>
          <w:rFonts w:ascii="Verdana" w:hAnsi="Verdana"/>
          <w:color w:val="000000"/>
          <w:sz w:val="22"/>
          <w:szCs w:val="22"/>
        </w:rPr>
        <w:t xml:space="preserve"> spend) by the Company involving actual or likely </w:t>
      </w:r>
      <w:r w:rsidR="00034C13">
        <w:rPr>
          <w:rFonts w:ascii="Verdana" w:hAnsi="Verdana"/>
          <w:color w:val="000000"/>
          <w:sz w:val="22"/>
          <w:szCs w:val="22"/>
        </w:rPr>
        <w:t xml:space="preserve">budgeted </w:t>
      </w:r>
      <w:r w:rsidRPr="00384AD7">
        <w:rPr>
          <w:rFonts w:ascii="Verdana" w:hAnsi="Verdana"/>
          <w:color w:val="000000"/>
          <w:sz w:val="22"/>
          <w:szCs w:val="22"/>
        </w:rPr>
        <w:t>spend or liability</w:t>
      </w:r>
      <w:r w:rsidR="009F3F92">
        <w:rPr>
          <w:rStyle w:val="FootnoteReference"/>
          <w:rFonts w:ascii="Verdana" w:hAnsi="Verdana"/>
          <w:color w:val="000000"/>
          <w:sz w:val="22"/>
          <w:szCs w:val="22"/>
        </w:rPr>
        <w:footnoteReference w:id="20"/>
      </w:r>
      <w:r w:rsidRPr="00384AD7">
        <w:rPr>
          <w:rFonts w:ascii="Verdana" w:hAnsi="Verdana"/>
          <w:color w:val="000000"/>
          <w:sz w:val="22"/>
          <w:szCs w:val="22"/>
        </w:rPr>
        <w:t xml:space="preserve"> </w:t>
      </w:r>
      <w:r w:rsidR="0027191A">
        <w:rPr>
          <w:rFonts w:ascii="Verdana" w:hAnsi="Verdana"/>
          <w:color w:val="000000"/>
          <w:sz w:val="22"/>
          <w:szCs w:val="22"/>
        </w:rPr>
        <w:t xml:space="preserve">in excess of £15,000,000 and </w:t>
      </w:r>
      <w:r w:rsidRPr="00384AD7">
        <w:rPr>
          <w:rFonts w:ascii="Verdana" w:hAnsi="Verdana"/>
          <w:color w:val="000000"/>
          <w:sz w:val="22"/>
          <w:szCs w:val="22"/>
        </w:rPr>
        <w:t>up to £50,000,000</w:t>
      </w:r>
      <w:r w:rsidR="0027191A">
        <w:rPr>
          <w:rFonts w:ascii="Verdana" w:hAnsi="Verdana"/>
          <w:color w:val="000000"/>
          <w:sz w:val="22"/>
          <w:szCs w:val="22"/>
        </w:rPr>
        <w:t>, excluding VAT (delegated to the Transformation Committee in case of change spend)</w:t>
      </w:r>
      <w:r w:rsidRPr="00384AD7">
        <w:rPr>
          <w:rFonts w:ascii="Verdana" w:hAnsi="Verdana"/>
          <w:color w:val="000000"/>
          <w:sz w:val="22"/>
          <w:szCs w:val="22"/>
        </w:rPr>
        <w:t>;</w:t>
      </w:r>
    </w:p>
    <w:p w14:paraId="2BF56EF5" w14:textId="0D90FB17" w:rsidR="00384AD7" w:rsidRPr="00384AD7" w:rsidRDefault="00384AD7" w:rsidP="00B258FA">
      <w:pPr>
        <w:pStyle w:val="NormalWeb"/>
        <w:numPr>
          <w:ilvl w:val="0"/>
          <w:numId w:val="25"/>
        </w:numPr>
        <w:spacing w:before="0" w:beforeAutospacing="0" w:after="0" w:afterAutospacing="0"/>
        <w:ind w:left="1276" w:hanging="567"/>
        <w:jc w:val="both"/>
        <w:rPr>
          <w:rFonts w:ascii="Verdana" w:hAnsi="Verdana"/>
          <w:color w:val="000000"/>
          <w:sz w:val="22"/>
          <w:szCs w:val="22"/>
        </w:rPr>
      </w:pPr>
      <w:r w:rsidRPr="00585C87">
        <w:rPr>
          <w:rFonts w:ascii="Verdana" w:hAnsi="Verdana"/>
          <w:b/>
          <w:bCs/>
          <w:color w:val="000000"/>
          <w:sz w:val="22"/>
          <w:szCs w:val="22"/>
        </w:rPr>
        <w:t>Approve</w:t>
      </w:r>
      <w:r w:rsidRPr="00384AD7">
        <w:rPr>
          <w:rFonts w:ascii="Verdana" w:hAnsi="Verdana"/>
          <w:color w:val="000000"/>
          <w:sz w:val="22"/>
          <w:szCs w:val="22"/>
        </w:rPr>
        <w:t xml:space="preserve"> the entry into or implementation of a transaction </w:t>
      </w:r>
      <w:r w:rsidR="0027191A" w:rsidRPr="00384AD7">
        <w:rPr>
          <w:rFonts w:ascii="Verdana" w:hAnsi="Verdana"/>
          <w:color w:val="000000"/>
          <w:sz w:val="22"/>
          <w:szCs w:val="22"/>
        </w:rPr>
        <w:t>(</w:t>
      </w:r>
      <w:r w:rsidR="0027191A">
        <w:rPr>
          <w:rFonts w:ascii="Verdana" w:hAnsi="Verdana"/>
          <w:color w:val="000000"/>
          <w:sz w:val="22"/>
          <w:szCs w:val="22"/>
        </w:rPr>
        <w:t xml:space="preserve">for </w:t>
      </w:r>
      <w:r w:rsidR="0027191A" w:rsidRPr="00384AD7">
        <w:rPr>
          <w:rFonts w:ascii="Verdana" w:hAnsi="Verdana"/>
          <w:color w:val="000000"/>
          <w:sz w:val="22"/>
          <w:szCs w:val="22"/>
        </w:rPr>
        <w:t>OPEX</w:t>
      </w:r>
      <w:r w:rsidR="0027191A">
        <w:rPr>
          <w:rFonts w:ascii="Verdana" w:hAnsi="Verdana"/>
          <w:color w:val="000000"/>
          <w:sz w:val="22"/>
          <w:szCs w:val="22"/>
        </w:rPr>
        <w:t xml:space="preserve"> or change</w:t>
      </w:r>
      <w:r w:rsidR="0027191A" w:rsidRPr="00384AD7">
        <w:rPr>
          <w:rFonts w:ascii="Verdana" w:hAnsi="Verdana"/>
          <w:color w:val="000000"/>
          <w:sz w:val="22"/>
          <w:szCs w:val="22"/>
        </w:rPr>
        <w:t xml:space="preserve"> spend) </w:t>
      </w:r>
      <w:r w:rsidR="0027191A">
        <w:rPr>
          <w:rFonts w:ascii="Verdana" w:hAnsi="Verdana"/>
          <w:color w:val="000000"/>
          <w:sz w:val="22"/>
          <w:szCs w:val="22"/>
        </w:rPr>
        <w:t xml:space="preserve">by a Group subsidiary </w:t>
      </w:r>
      <w:r w:rsidRPr="00384AD7">
        <w:rPr>
          <w:rFonts w:ascii="Verdana" w:hAnsi="Verdana"/>
          <w:color w:val="000000"/>
          <w:sz w:val="22"/>
          <w:szCs w:val="22"/>
        </w:rPr>
        <w:t xml:space="preserve">involving actual or likely </w:t>
      </w:r>
      <w:r w:rsidR="00034C13">
        <w:rPr>
          <w:rFonts w:ascii="Verdana" w:hAnsi="Verdana"/>
          <w:color w:val="000000"/>
          <w:sz w:val="22"/>
          <w:szCs w:val="22"/>
        </w:rPr>
        <w:t xml:space="preserve">budgeted </w:t>
      </w:r>
      <w:r w:rsidRPr="00384AD7">
        <w:rPr>
          <w:rFonts w:ascii="Verdana" w:hAnsi="Verdana"/>
          <w:color w:val="000000"/>
          <w:sz w:val="22"/>
          <w:szCs w:val="22"/>
        </w:rPr>
        <w:t>spend or liability in excess of £</w:t>
      </w:r>
      <w:r w:rsidR="001D45E1">
        <w:rPr>
          <w:rFonts w:ascii="Verdana" w:hAnsi="Verdana"/>
          <w:color w:val="000000"/>
          <w:sz w:val="22"/>
          <w:szCs w:val="22"/>
        </w:rPr>
        <w:t>1</w:t>
      </w:r>
      <w:r w:rsidRPr="00384AD7">
        <w:rPr>
          <w:rFonts w:ascii="Verdana" w:hAnsi="Verdana"/>
          <w:color w:val="000000"/>
          <w:sz w:val="22"/>
          <w:szCs w:val="22"/>
        </w:rPr>
        <w:t>5,000,000</w:t>
      </w:r>
      <w:r w:rsidR="0027191A">
        <w:rPr>
          <w:rFonts w:ascii="Verdana" w:hAnsi="Verdana"/>
          <w:color w:val="000000"/>
          <w:sz w:val="22"/>
          <w:szCs w:val="22"/>
        </w:rPr>
        <w:t>,</w:t>
      </w:r>
      <w:r w:rsidR="00786C5F">
        <w:rPr>
          <w:rFonts w:ascii="Verdana" w:hAnsi="Verdana"/>
          <w:color w:val="000000"/>
          <w:sz w:val="22"/>
          <w:szCs w:val="22"/>
        </w:rPr>
        <w:t xml:space="preserve"> excluding VAT</w:t>
      </w:r>
      <w:r w:rsidR="0027191A">
        <w:rPr>
          <w:rFonts w:ascii="Verdana" w:hAnsi="Verdana"/>
          <w:color w:val="000000"/>
          <w:sz w:val="22"/>
          <w:szCs w:val="22"/>
        </w:rPr>
        <w:t>.</w:t>
      </w:r>
      <w:r w:rsidRPr="00384AD7">
        <w:rPr>
          <w:rFonts w:ascii="Verdana" w:hAnsi="Verdana"/>
          <w:color w:val="000000"/>
          <w:sz w:val="22"/>
          <w:szCs w:val="22"/>
        </w:rPr>
        <w:t xml:space="preserve"> </w:t>
      </w:r>
    </w:p>
    <w:p w14:paraId="5F7FE9AA" w14:textId="08A1F3D4" w:rsidR="000D331C" w:rsidRPr="00DA39FB" w:rsidRDefault="00384AD7" w:rsidP="00B258FA">
      <w:pPr>
        <w:pStyle w:val="NormalWeb"/>
        <w:numPr>
          <w:ilvl w:val="0"/>
          <w:numId w:val="25"/>
        </w:numPr>
        <w:spacing w:before="0" w:beforeAutospacing="0" w:after="0" w:afterAutospacing="0"/>
        <w:ind w:left="1276" w:hanging="567"/>
        <w:jc w:val="both"/>
        <w:rPr>
          <w:i/>
        </w:rPr>
      </w:pPr>
      <w:r w:rsidRPr="00585C87">
        <w:rPr>
          <w:rFonts w:ascii="Verdana" w:hAnsi="Verdana"/>
          <w:b/>
          <w:bCs/>
          <w:color w:val="000000"/>
          <w:sz w:val="22"/>
          <w:szCs w:val="22"/>
        </w:rPr>
        <w:lastRenderedPageBreak/>
        <w:t>Approve</w:t>
      </w:r>
      <w:r w:rsidRPr="00DA39FB">
        <w:rPr>
          <w:rFonts w:ascii="Verdana" w:hAnsi="Verdana"/>
          <w:color w:val="000000"/>
          <w:sz w:val="22"/>
          <w:szCs w:val="22"/>
        </w:rPr>
        <w:t xml:space="preserve"> the Group pension strategy and any material changes to pension arrangements for the Group, in particular reflecting the rate of contribution made</w:t>
      </w:r>
      <w:r w:rsidR="006C3EA7">
        <w:rPr>
          <w:rFonts w:ascii="Verdana" w:hAnsi="Verdana"/>
          <w:color w:val="000000"/>
          <w:sz w:val="22"/>
          <w:szCs w:val="22"/>
        </w:rPr>
        <w:t>.</w:t>
      </w:r>
      <w:r w:rsidRPr="00DA39FB">
        <w:rPr>
          <w:rFonts w:ascii="Verdana" w:hAnsi="Verdana"/>
          <w:color w:val="000000"/>
          <w:sz w:val="22"/>
          <w:szCs w:val="22"/>
        </w:rPr>
        <w:t xml:space="preserve"> </w:t>
      </w:r>
    </w:p>
    <w:p w14:paraId="251F9DE1" w14:textId="77777777" w:rsidR="0054170D" w:rsidRDefault="0054170D" w:rsidP="0054170D">
      <w:pPr>
        <w:pStyle w:val="ListParagraph"/>
        <w:spacing w:line="240" w:lineRule="auto"/>
        <w:ind w:left="1418" w:hanging="851"/>
        <w:jc w:val="both"/>
        <w:rPr>
          <w:i/>
        </w:rPr>
      </w:pPr>
    </w:p>
    <w:p w14:paraId="5D0BBD50" w14:textId="61FC3F92" w:rsidR="000D331C" w:rsidRDefault="002B6A2A" w:rsidP="00B258FA">
      <w:pPr>
        <w:pStyle w:val="ListParagraph"/>
        <w:spacing w:line="240" w:lineRule="auto"/>
        <w:ind w:left="1418" w:hanging="709"/>
        <w:jc w:val="both"/>
        <w:rPr>
          <w:i/>
        </w:rPr>
      </w:pPr>
      <w:r w:rsidRPr="000D331C">
        <w:rPr>
          <w:i/>
        </w:rPr>
        <w:t xml:space="preserve">Appointment and Senior Remuneration </w:t>
      </w:r>
    </w:p>
    <w:p w14:paraId="49340EB3" w14:textId="77777777" w:rsidR="000D331C" w:rsidRPr="000D331C" w:rsidRDefault="000D331C" w:rsidP="0054170D">
      <w:pPr>
        <w:pStyle w:val="ListParagraph"/>
        <w:spacing w:line="240" w:lineRule="auto"/>
        <w:ind w:left="1418" w:hanging="851"/>
        <w:jc w:val="both"/>
      </w:pPr>
    </w:p>
    <w:p w14:paraId="5FCCC0CC" w14:textId="77777777" w:rsidR="000D331C" w:rsidRDefault="002B6A2A" w:rsidP="00B258FA">
      <w:pPr>
        <w:pStyle w:val="ListParagraph"/>
        <w:numPr>
          <w:ilvl w:val="0"/>
          <w:numId w:val="33"/>
        </w:numPr>
        <w:spacing w:line="240" w:lineRule="auto"/>
        <w:ind w:left="1418" w:hanging="709"/>
        <w:jc w:val="both"/>
      </w:pPr>
      <w:r w:rsidRPr="000D331C">
        <w:rPr>
          <w:b/>
        </w:rPr>
        <w:t>Approve</w:t>
      </w:r>
      <w:r w:rsidRPr="001307C5">
        <w:t xml:space="preserve">  the appointment or removal of the Secretary (Article 66);</w:t>
      </w:r>
    </w:p>
    <w:p w14:paraId="140F1415" w14:textId="0CDF15ED" w:rsidR="000D331C" w:rsidRDefault="002B6A2A" w:rsidP="00B258FA">
      <w:pPr>
        <w:pStyle w:val="ListParagraph"/>
        <w:numPr>
          <w:ilvl w:val="0"/>
          <w:numId w:val="33"/>
        </w:numPr>
        <w:spacing w:line="240" w:lineRule="auto"/>
        <w:ind w:left="1418" w:hanging="709"/>
        <w:jc w:val="both"/>
      </w:pPr>
      <w:r w:rsidRPr="000D331C">
        <w:rPr>
          <w:b/>
        </w:rPr>
        <w:t>Approve</w:t>
      </w:r>
      <w:r w:rsidRPr="001307C5">
        <w:t xml:space="preserve"> the appointment, remuneration</w:t>
      </w:r>
      <w:r w:rsidR="00694455">
        <w:rPr>
          <w:rStyle w:val="FootnoteReference"/>
        </w:rPr>
        <w:footnoteReference w:id="21"/>
      </w:r>
      <w:r w:rsidRPr="001307C5">
        <w:t xml:space="preserve"> or dismissal of senior employee</w:t>
      </w:r>
      <w:r w:rsidR="00254E50">
        <w:t>s</w:t>
      </w:r>
      <w:r w:rsidRPr="000D331C">
        <w:rPr>
          <w:vertAlign w:val="superscript"/>
        </w:rPr>
        <w:footnoteReference w:id="22"/>
      </w:r>
      <w:r w:rsidRPr="001307C5">
        <w:t xml:space="preserve"> (delegated to the Nominations and Remuneration Committees);</w:t>
      </w:r>
    </w:p>
    <w:p w14:paraId="75D34586" w14:textId="77777777" w:rsidR="000D331C" w:rsidRDefault="009812F7" w:rsidP="00B258FA">
      <w:pPr>
        <w:pStyle w:val="ListParagraph"/>
        <w:numPr>
          <w:ilvl w:val="0"/>
          <w:numId w:val="33"/>
        </w:numPr>
        <w:spacing w:line="240" w:lineRule="auto"/>
        <w:ind w:left="1418" w:hanging="709"/>
        <w:jc w:val="both"/>
      </w:pPr>
      <w:r w:rsidRPr="000D331C">
        <w:rPr>
          <w:b/>
        </w:rPr>
        <w:t>Approve</w:t>
      </w:r>
      <w:r w:rsidRPr="001307C5">
        <w:t xml:space="preserve"> the appointment, reappointment, removal and remuneration of directors for Subsidiary Companies</w:t>
      </w:r>
      <w:r w:rsidR="00A874ED" w:rsidRPr="000D331C">
        <w:rPr>
          <w:vertAlign w:val="superscript"/>
        </w:rPr>
        <w:footnoteReference w:id="23"/>
      </w:r>
      <w:r w:rsidRPr="000D331C">
        <w:rPr>
          <w:vertAlign w:val="superscript"/>
        </w:rPr>
        <w:t xml:space="preserve"> </w:t>
      </w:r>
      <w:r w:rsidRPr="001307C5">
        <w:t>(delegated to the Nominations and Remuneration Committees);</w:t>
      </w:r>
    </w:p>
    <w:p w14:paraId="019D34C8" w14:textId="77777777" w:rsidR="000D331C" w:rsidRDefault="002E3EE1" w:rsidP="00B258FA">
      <w:pPr>
        <w:pStyle w:val="ListParagraph"/>
        <w:numPr>
          <w:ilvl w:val="0"/>
          <w:numId w:val="34"/>
        </w:numPr>
        <w:spacing w:line="240" w:lineRule="auto"/>
        <w:ind w:left="1418" w:hanging="709"/>
        <w:jc w:val="both"/>
      </w:pPr>
      <w:r w:rsidRPr="000D331C">
        <w:rPr>
          <w:b/>
        </w:rPr>
        <w:t>Approve</w:t>
      </w:r>
      <w:r w:rsidRPr="001307C5">
        <w:t xml:space="preserve"> the Group Remuneration Policy</w:t>
      </w:r>
      <w:r w:rsidR="005D5634" w:rsidRPr="000D331C">
        <w:rPr>
          <w:vertAlign w:val="superscript"/>
        </w:rPr>
        <w:footnoteReference w:id="24"/>
      </w:r>
      <w:r w:rsidRPr="001307C5">
        <w:t xml:space="preserve"> (on recommendation from the Remuneration Committee);</w:t>
      </w:r>
    </w:p>
    <w:p w14:paraId="4CF76F05" w14:textId="3F9B5DB4" w:rsidR="000D331C" w:rsidRDefault="002E3EE1" w:rsidP="00B258FA">
      <w:pPr>
        <w:pStyle w:val="ListParagraph"/>
        <w:numPr>
          <w:ilvl w:val="0"/>
          <w:numId w:val="34"/>
        </w:numPr>
        <w:spacing w:line="240" w:lineRule="auto"/>
        <w:ind w:left="1418" w:hanging="709"/>
        <w:jc w:val="both"/>
      </w:pPr>
      <w:r w:rsidRPr="000D331C">
        <w:rPr>
          <w:b/>
        </w:rPr>
        <w:t>Approve</w:t>
      </w:r>
      <w:r w:rsidRPr="001307C5">
        <w:t xml:space="preserve"> the introduction of</w:t>
      </w:r>
      <w:r w:rsidR="00D90300">
        <w:t xml:space="preserve"> and any changes to</w:t>
      </w:r>
      <w:r w:rsidRPr="001307C5">
        <w:t xml:space="preserve"> any long or short term incentive scheme, </w:t>
      </w:r>
      <w:r w:rsidR="00D90300">
        <w:t xml:space="preserve">and </w:t>
      </w:r>
      <w:r w:rsidRPr="001307C5">
        <w:t>performance criteria and any awards made under such schemes</w:t>
      </w:r>
      <w:r w:rsidR="004F79F6" w:rsidRPr="001307C5">
        <w:t xml:space="preserve"> (delegated to the Remuneration Committee)</w:t>
      </w:r>
      <w:r w:rsidR="004F79F6" w:rsidRPr="000D331C">
        <w:rPr>
          <w:vertAlign w:val="superscript"/>
        </w:rPr>
        <w:footnoteReference w:id="25"/>
      </w:r>
      <w:r w:rsidRPr="001307C5">
        <w:t>;</w:t>
      </w:r>
    </w:p>
    <w:p w14:paraId="6E476AB6" w14:textId="77777777" w:rsidR="001347F3" w:rsidRDefault="002B6A2A" w:rsidP="00B258FA">
      <w:pPr>
        <w:pStyle w:val="ListParagraph"/>
        <w:numPr>
          <w:ilvl w:val="0"/>
          <w:numId w:val="34"/>
        </w:numPr>
        <w:spacing w:line="240" w:lineRule="auto"/>
        <w:ind w:left="1418" w:hanging="709"/>
        <w:jc w:val="both"/>
      </w:pPr>
      <w:r w:rsidRPr="000D331C">
        <w:rPr>
          <w:b/>
        </w:rPr>
        <w:t>Approve</w:t>
      </w:r>
      <w:r w:rsidRPr="001307C5">
        <w:t xml:space="preserve"> the appointment, reappointment or removal of the Group’s p</w:t>
      </w:r>
      <w:r w:rsidR="000D331C">
        <w:t>rincipal professional advisors,</w:t>
      </w:r>
      <w:r w:rsidRPr="000D331C">
        <w:rPr>
          <w:vertAlign w:val="superscript"/>
        </w:rPr>
        <w:footnoteReference w:id="26"/>
      </w:r>
      <w:r w:rsidRPr="000D331C">
        <w:rPr>
          <w:vertAlign w:val="superscript"/>
        </w:rPr>
        <w:t xml:space="preserve"> </w:t>
      </w:r>
      <w:r w:rsidRPr="001307C5">
        <w:t xml:space="preserve">including the external auditor (on </w:t>
      </w:r>
      <w:r w:rsidRPr="003E4A21">
        <w:t>recommendation from the Audit, Risk &amp; Compliance Committee)</w:t>
      </w:r>
      <w:r w:rsidR="000D331C" w:rsidRPr="003E4A21">
        <w:t>;</w:t>
      </w:r>
    </w:p>
    <w:p w14:paraId="534CBF03" w14:textId="18EA4435" w:rsidR="003E4A21" w:rsidRDefault="003E4A21" w:rsidP="00B258FA">
      <w:pPr>
        <w:pStyle w:val="ListParagraph"/>
        <w:numPr>
          <w:ilvl w:val="0"/>
          <w:numId w:val="34"/>
        </w:numPr>
        <w:spacing w:line="240" w:lineRule="auto"/>
        <w:ind w:left="1418" w:hanging="709"/>
        <w:jc w:val="both"/>
      </w:pPr>
      <w:r w:rsidRPr="001347F3">
        <w:rPr>
          <w:b/>
        </w:rPr>
        <w:t>Approve</w:t>
      </w:r>
      <w:r w:rsidRPr="003E4A21">
        <w:t xml:space="preserve"> of the appointment of external facilitators for Board and Committee evaluations (delegated to the Nominations Committee);</w:t>
      </w:r>
    </w:p>
    <w:p w14:paraId="2EE704AE" w14:textId="77777777" w:rsidR="000D331C" w:rsidRDefault="000D331C" w:rsidP="000D331C">
      <w:pPr>
        <w:pStyle w:val="ListParagraph"/>
        <w:ind w:left="1418" w:hanging="709"/>
        <w:jc w:val="both"/>
        <w:rPr>
          <w:i/>
        </w:rPr>
      </w:pPr>
    </w:p>
    <w:p w14:paraId="1950D6E5" w14:textId="77777777" w:rsidR="000D331C" w:rsidRDefault="00112DB9" w:rsidP="00B258FA">
      <w:pPr>
        <w:pStyle w:val="ListParagraph"/>
        <w:spacing w:line="240" w:lineRule="auto"/>
        <w:ind w:left="1418" w:hanging="709"/>
        <w:jc w:val="both"/>
        <w:rPr>
          <w:i/>
        </w:rPr>
      </w:pPr>
      <w:r w:rsidRPr="000D331C">
        <w:rPr>
          <w:i/>
        </w:rPr>
        <w:t>Governance</w:t>
      </w:r>
    </w:p>
    <w:p w14:paraId="6FAB641F" w14:textId="77777777" w:rsidR="000D331C" w:rsidRPr="000D331C" w:rsidRDefault="000D331C" w:rsidP="005712F6">
      <w:pPr>
        <w:pStyle w:val="ListParagraph"/>
        <w:spacing w:line="240" w:lineRule="auto"/>
        <w:ind w:left="1418" w:hanging="709"/>
        <w:jc w:val="both"/>
      </w:pPr>
    </w:p>
    <w:p w14:paraId="0F46BBAA" w14:textId="77777777" w:rsidR="000D331C" w:rsidRDefault="004517EC" w:rsidP="0076402B">
      <w:pPr>
        <w:pStyle w:val="ListParagraph"/>
        <w:numPr>
          <w:ilvl w:val="0"/>
          <w:numId w:val="43"/>
        </w:numPr>
        <w:spacing w:line="240" w:lineRule="auto"/>
        <w:ind w:left="1418" w:hanging="709"/>
        <w:jc w:val="both"/>
      </w:pPr>
      <w:r w:rsidRPr="000D331C">
        <w:rPr>
          <w:b/>
        </w:rPr>
        <w:t>Ensure</w:t>
      </w:r>
      <w:r w:rsidRPr="001307C5">
        <w:t xml:space="preserve"> delivery of obligations </w:t>
      </w:r>
      <w:r w:rsidR="009812F7" w:rsidRPr="001307C5">
        <w:t xml:space="preserve">on the Company </w:t>
      </w:r>
      <w:r w:rsidRPr="001307C5">
        <w:t>under the Postal Services Act 2011</w:t>
      </w:r>
      <w:r w:rsidR="009812F7" w:rsidRPr="001307C5">
        <w:t>, including the publication of the annual Network Report and Postal Heritage Report;</w:t>
      </w:r>
    </w:p>
    <w:p w14:paraId="2F08C1D9" w14:textId="77777777" w:rsidR="000D331C" w:rsidRDefault="0074555B" w:rsidP="0076402B">
      <w:pPr>
        <w:pStyle w:val="ListParagraph"/>
        <w:numPr>
          <w:ilvl w:val="0"/>
          <w:numId w:val="43"/>
        </w:numPr>
        <w:spacing w:line="240" w:lineRule="auto"/>
        <w:ind w:left="1418" w:hanging="709"/>
        <w:jc w:val="both"/>
      </w:pPr>
      <w:r w:rsidRPr="003E4A21">
        <w:rPr>
          <w:b/>
        </w:rPr>
        <w:t>Approve</w:t>
      </w:r>
      <w:r w:rsidRPr="001307C5">
        <w:t xml:space="preserve">  the adoption of the Company policies related to business operation and/or strategic matters and identified within the approved policy framework as requiring Board level oversight</w:t>
      </w:r>
      <w:r w:rsidR="004517EC" w:rsidRPr="001307C5">
        <w:t xml:space="preserve"> (some policies may be approved by Board Committees in accordance with the key policy framework)</w:t>
      </w:r>
      <w:r w:rsidRPr="001307C5">
        <w:t>;</w:t>
      </w:r>
    </w:p>
    <w:p w14:paraId="32FB3C23" w14:textId="77777777" w:rsidR="000D331C" w:rsidRDefault="0074555B" w:rsidP="0076402B">
      <w:pPr>
        <w:pStyle w:val="ListParagraph"/>
        <w:numPr>
          <w:ilvl w:val="0"/>
          <w:numId w:val="43"/>
        </w:numPr>
        <w:spacing w:line="240" w:lineRule="auto"/>
        <w:ind w:left="1418" w:hanging="709"/>
        <w:jc w:val="both"/>
      </w:pPr>
      <w:r w:rsidRPr="000D331C">
        <w:rPr>
          <w:b/>
        </w:rPr>
        <w:t>Authorise</w:t>
      </w:r>
      <w:r w:rsidRPr="001307C5">
        <w:t xml:space="preserve"> a Conflict of Interest (Article 54 (A));</w:t>
      </w:r>
    </w:p>
    <w:p w14:paraId="4E7834E8" w14:textId="28930C41" w:rsidR="000D331C" w:rsidRDefault="0074555B" w:rsidP="0076402B">
      <w:pPr>
        <w:pStyle w:val="ListParagraph"/>
        <w:numPr>
          <w:ilvl w:val="0"/>
          <w:numId w:val="43"/>
        </w:numPr>
        <w:spacing w:line="240" w:lineRule="auto"/>
        <w:ind w:left="1418" w:hanging="709"/>
        <w:jc w:val="both"/>
      </w:pPr>
      <w:r w:rsidRPr="000D331C">
        <w:rPr>
          <w:b/>
        </w:rPr>
        <w:t>Approve</w:t>
      </w:r>
      <w:r w:rsidRPr="001307C5">
        <w:t xml:space="preserve"> overall levels of insurance for the Company, including directors’ and officers’ liability insurance and any arrangement for indemnity of directors (delegated to the Audi</w:t>
      </w:r>
      <w:r w:rsidR="000D331C">
        <w:t>t, Risk &amp; Compliance Committee)</w:t>
      </w:r>
      <w:r w:rsidRPr="000D331C">
        <w:rPr>
          <w:vertAlign w:val="superscript"/>
        </w:rPr>
        <w:footnoteReference w:id="27"/>
      </w:r>
      <w:r w:rsidR="000D331C">
        <w:t>;</w:t>
      </w:r>
    </w:p>
    <w:p w14:paraId="2D9108AB" w14:textId="77777777" w:rsidR="000D331C" w:rsidRDefault="0074555B" w:rsidP="0076402B">
      <w:pPr>
        <w:pStyle w:val="ListParagraph"/>
        <w:numPr>
          <w:ilvl w:val="0"/>
          <w:numId w:val="43"/>
        </w:numPr>
        <w:spacing w:line="240" w:lineRule="auto"/>
        <w:ind w:left="1418" w:hanging="709"/>
        <w:jc w:val="both"/>
      </w:pPr>
      <w:r w:rsidRPr="000D331C">
        <w:rPr>
          <w:b/>
        </w:rPr>
        <w:lastRenderedPageBreak/>
        <w:t>Approve</w:t>
      </w:r>
      <w:r w:rsidRPr="001307C5">
        <w:t xml:space="preserve"> the adoption of and changes to Matters Reserved to the Board (including appendices</w:t>
      </w:r>
      <w:r w:rsidRPr="000D331C">
        <w:rPr>
          <w:vertAlign w:val="superscript"/>
        </w:rPr>
        <w:footnoteReference w:id="28"/>
      </w:r>
      <w:r w:rsidRPr="001307C5">
        <w:t>) and Board Committee Terms of Reference</w:t>
      </w:r>
      <w:r w:rsidR="009812F7" w:rsidRPr="001307C5">
        <w:t xml:space="preserve"> (on recommendation from the relevant committee for the relevant committee)</w:t>
      </w:r>
      <w:r w:rsidRPr="001307C5">
        <w:t>;</w:t>
      </w:r>
    </w:p>
    <w:p w14:paraId="0C54B940" w14:textId="77777777" w:rsidR="000D331C" w:rsidRDefault="0074555B" w:rsidP="0076402B">
      <w:pPr>
        <w:pStyle w:val="ListParagraph"/>
        <w:numPr>
          <w:ilvl w:val="0"/>
          <w:numId w:val="43"/>
        </w:numPr>
        <w:spacing w:line="240" w:lineRule="auto"/>
        <w:ind w:left="1418" w:hanging="709"/>
        <w:jc w:val="both"/>
      </w:pPr>
      <w:r w:rsidRPr="000D331C">
        <w:rPr>
          <w:b/>
        </w:rPr>
        <w:t>Approve</w:t>
      </w:r>
      <w:r w:rsidRPr="001307C5">
        <w:t xml:space="preserve"> the process for the annual review of Board and Board Sub- Committee Effectiveness (delegated to the Nominations Committee); </w:t>
      </w:r>
    </w:p>
    <w:p w14:paraId="0232726D" w14:textId="77777777" w:rsidR="00CE1D99" w:rsidRDefault="0074555B" w:rsidP="0076402B">
      <w:pPr>
        <w:pStyle w:val="ListParagraph"/>
        <w:numPr>
          <w:ilvl w:val="0"/>
          <w:numId w:val="43"/>
        </w:numPr>
        <w:spacing w:line="240" w:lineRule="auto"/>
        <w:ind w:left="1418" w:hanging="709"/>
        <w:jc w:val="both"/>
      </w:pPr>
      <w:r w:rsidRPr="00CE1D99">
        <w:rPr>
          <w:b/>
        </w:rPr>
        <w:t>Approve</w:t>
      </w:r>
      <w:r w:rsidRPr="001307C5">
        <w:t xml:space="preserve"> the authority delegated to the Group Chief Executive (or equivalent)</w:t>
      </w:r>
      <w:r w:rsidR="0082320B" w:rsidRPr="001307C5">
        <w:t xml:space="preserve"> and the division of responsibilities between the chair, chief executive and senior independent director (on recommendation of the Nominations Committee)</w:t>
      </w:r>
      <w:r w:rsidRPr="001307C5">
        <w:t>;</w:t>
      </w:r>
    </w:p>
    <w:p w14:paraId="13F2A6E5" w14:textId="5B5B3891" w:rsidR="00CA7E88" w:rsidRDefault="0074555B" w:rsidP="0076402B">
      <w:pPr>
        <w:pStyle w:val="ListParagraph"/>
        <w:numPr>
          <w:ilvl w:val="0"/>
          <w:numId w:val="43"/>
        </w:numPr>
        <w:spacing w:line="240" w:lineRule="auto"/>
        <w:ind w:left="1418" w:hanging="709"/>
        <w:jc w:val="both"/>
      </w:pPr>
      <w:r w:rsidRPr="00CE1D99">
        <w:rPr>
          <w:b/>
        </w:rPr>
        <w:t>Approve</w:t>
      </w:r>
      <w:r w:rsidRPr="001307C5">
        <w:t xml:space="preserve"> the Group’s overall corporate governance arrangements </w:t>
      </w:r>
      <w:r w:rsidR="004B43DC">
        <w:t>;</w:t>
      </w:r>
    </w:p>
    <w:p w14:paraId="0875D572" w14:textId="0F5C19EC" w:rsidR="00BB47C8" w:rsidRPr="003E4A21" w:rsidRDefault="00BB47C8" w:rsidP="0076402B">
      <w:pPr>
        <w:pStyle w:val="ListParagraph"/>
        <w:numPr>
          <w:ilvl w:val="0"/>
          <w:numId w:val="43"/>
        </w:numPr>
        <w:spacing w:line="240" w:lineRule="auto"/>
        <w:ind w:left="1418" w:hanging="851"/>
        <w:jc w:val="both"/>
      </w:pPr>
      <w:r w:rsidRPr="00CA7E88">
        <w:rPr>
          <w:b/>
        </w:rPr>
        <w:t xml:space="preserve">Approve </w:t>
      </w:r>
      <w:r w:rsidRPr="00CA7E88">
        <w:rPr>
          <w:bCs/>
        </w:rPr>
        <w:t xml:space="preserve">any Group Key Policies requiring Board approval under the </w:t>
      </w:r>
      <w:r w:rsidR="00CA7E88">
        <w:rPr>
          <w:bCs/>
        </w:rPr>
        <w:t xml:space="preserve">   </w:t>
      </w:r>
      <w:r w:rsidRPr="00CA7E88">
        <w:rPr>
          <w:bCs/>
        </w:rPr>
        <w:t>Group Key Policy Framework.</w:t>
      </w:r>
      <w:r>
        <w:rPr>
          <w:rStyle w:val="FootnoteReference"/>
          <w:bCs/>
        </w:rPr>
        <w:footnoteReference w:id="29"/>
      </w:r>
    </w:p>
    <w:p w14:paraId="4541501E" w14:textId="77777777" w:rsidR="00563160" w:rsidRPr="0074555B" w:rsidRDefault="00563160" w:rsidP="005712F6">
      <w:pPr>
        <w:tabs>
          <w:tab w:val="left" w:pos="2136"/>
        </w:tabs>
        <w:spacing w:line="240" w:lineRule="auto"/>
        <w:ind w:right="96"/>
        <w:rPr>
          <w:b/>
        </w:rPr>
      </w:pPr>
    </w:p>
    <w:p w14:paraId="57707964" w14:textId="47158E24" w:rsidR="007F2D0E" w:rsidRPr="000D331C" w:rsidRDefault="007F2D0E" w:rsidP="005712F6">
      <w:pPr>
        <w:pStyle w:val="ListParagraph"/>
        <w:numPr>
          <w:ilvl w:val="0"/>
          <w:numId w:val="2"/>
        </w:numPr>
        <w:spacing w:line="240" w:lineRule="auto"/>
        <w:ind w:right="95" w:hanging="720"/>
        <w:jc w:val="both"/>
        <w:rPr>
          <w:b/>
        </w:rPr>
      </w:pPr>
      <w:r w:rsidRPr="000D331C">
        <w:rPr>
          <w:b/>
        </w:rPr>
        <w:t>Delegation to Committees</w:t>
      </w:r>
    </w:p>
    <w:p w14:paraId="10EDD2D0" w14:textId="77777777" w:rsidR="007F2D0E" w:rsidRPr="00E377AB" w:rsidRDefault="007F2D0E" w:rsidP="005712F6">
      <w:pPr>
        <w:pStyle w:val="ListParagraph"/>
        <w:spacing w:line="240" w:lineRule="auto"/>
        <w:ind w:right="96"/>
        <w:rPr>
          <w:rFonts w:ascii="Times New Roman" w:eastAsia="Times New Roman" w:hAnsi="Times New Roman"/>
          <w:sz w:val="24"/>
          <w:szCs w:val="24"/>
          <w:lang w:eastAsia="en-GB"/>
        </w:rPr>
      </w:pPr>
    </w:p>
    <w:p w14:paraId="4B345D44" w14:textId="442E764E" w:rsidR="00F60E50" w:rsidRPr="000D331C" w:rsidRDefault="007F2D0E" w:rsidP="005712F6">
      <w:pPr>
        <w:pStyle w:val="ListParagraph"/>
        <w:numPr>
          <w:ilvl w:val="0"/>
          <w:numId w:val="15"/>
        </w:numPr>
        <w:spacing w:line="240" w:lineRule="auto"/>
        <w:ind w:right="96" w:hanging="720"/>
        <w:jc w:val="both"/>
        <w:rPr>
          <w:b/>
          <w:sz w:val="20"/>
        </w:rPr>
      </w:pPr>
      <w:r w:rsidRPr="000D331C">
        <w:rPr>
          <w:rFonts w:eastAsia="Times New Roman"/>
          <w:szCs w:val="24"/>
          <w:lang w:eastAsia="en-GB"/>
        </w:rPr>
        <w:t xml:space="preserve">The Board may delegate authority for </w:t>
      </w:r>
      <w:r w:rsidR="00B75B69" w:rsidRPr="000D331C">
        <w:rPr>
          <w:rFonts w:eastAsia="Times New Roman"/>
          <w:szCs w:val="24"/>
          <w:lang w:eastAsia="en-GB"/>
        </w:rPr>
        <w:t xml:space="preserve">specified responsibilities </w:t>
      </w:r>
      <w:r w:rsidRPr="000D331C">
        <w:rPr>
          <w:rFonts w:eastAsia="Times New Roman"/>
          <w:szCs w:val="24"/>
          <w:lang w:eastAsia="en-GB"/>
        </w:rPr>
        <w:t xml:space="preserve">to Committees of the Board. The Terms of Reference </w:t>
      </w:r>
      <w:r w:rsidR="00B75B69" w:rsidRPr="000D331C">
        <w:rPr>
          <w:rFonts w:eastAsia="Times New Roman"/>
          <w:szCs w:val="24"/>
          <w:lang w:eastAsia="en-GB"/>
        </w:rPr>
        <w:t xml:space="preserve">for </w:t>
      </w:r>
      <w:r w:rsidRPr="000D331C">
        <w:rPr>
          <w:rFonts w:eastAsia="Times New Roman"/>
          <w:szCs w:val="24"/>
          <w:lang w:eastAsia="en-GB"/>
        </w:rPr>
        <w:t>these Committees will be approved by the Board. The duties of each Committee are contained in the Terms of Reference.  </w:t>
      </w:r>
      <w:r w:rsidR="0060790E" w:rsidRPr="000D331C">
        <w:rPr>
          <w:rFonts w:eastAsia="Times New Roman"/>
          <w:szCs w:val="24"/>
          <w:lang w:eastAsia="en-GB"/>
        </w:rPr>
        <w:t>The Committees of the Board are:</w:t>
      </w:r>
    </w:p>
    <w:p w14:paraId="6710FF9C" w14:textId="77777777" w:rsidR="000F03BE" w:rsidRPr="000F03BE" w:rsidRDefault="007F2D0E" w:rsidP="00B258FA">
      <w:pPr>
        <w:pStyle w:val="ListParagraph"/>
        <w:numPr>
          <w:ilvl w:val="0"/>
          <w:numId w:val="41"/>
        </w:numPr>
        <w:spacing w:line="240" w:lineRule="auto"/>
        <w:ind w:left="1276" w:right="96" w:hanging="567"/>
        <w:jc w:val="both"/>
        <w:rPr>
          <w:b/>
          <w:sz w:val="20"/>
        </w:rPr>
      </w:pPr>
      <w:r w:rsidRPr="00F60E50">
        <w:rPr>
          <w:rFonts w:eastAsia="Times New Roman"/>
          <w:szCs w:val="24"/>
          <w:lang w:eastAsia="en-GB"/>
        </w:rPr>
        <w:t>Audit, Risk &amp; Compliance Committee </w:t>
      </w:r>
    </w:p>
    <w:p w14:paraId="3A73E6AF" w14:textId="015E8F32" w:rsidR="000F03BE" w:rsidRDefault="000F03BE" w:rsidP="00B258FA">
      <w:pPr>
        <w:pStyle w:val="ListParagraph"/>
        <w:numPr>
          <w:ilvl w:val="0"/>
          <w:numId w:val="41"/>
        </w:numPr>
        <w:spacing w:line="240" w:lineRule="auto"/>
        <w:ind w:left="1276" w:right="96" w:hanging="567"/>
        <w:jc w:val="both"/>
        <w:rPr>
          <w:rFonts w:eastAsia="Times New Roman"/>
          <w:szCs w:val="24"/>
        </w:rPr>
      </w:pPr>
      <w:r w:rsidRPr="00F60E50">
        <w:rPr>
          <w:rFonts w:eastAsia="Times New Roman"/>
          <w:szCs w:val="24"/>
          <w:lang w:eastAsia="en-GB"/>
        </w:rPr>
        <w:t>Nomination</w:t>
      </w:r>
      <w:r w:rsidR="007040A7">
        <w:rPr>
          <w:rFonts w:eastAsia="Times New Roman"/>
          <w:szCs w:val="24"/>
          <w:lang w:eastAsia="en-GB"/>
        </w:rPr>
        <w:t>s</w:t>
      </w:r>
      <w:r w:rsidRPr="00F60E50">
        <w:rPr>
          <w:rFonts w:eastAsia="Times New Roman"/>
          <w:szCs w:val="24"/>
          <w:lang w:eastAsia="en-GB"/>
        </w:rPr>
        <w:t xml:space="preserve"> Committee</w:t>
      </w:r>
    </w:p>
    <w:p w14:paraId="1220E5A4" w14:textId="77777777" w:rsidR="00F60E50" w:rsidRPr="002F2DEA" w:rsidRDefault="007F2D0E" w:rsidP="00B258FA">
      <w:pPr>
        <w:pStyle w:val="ListParagraph"/>
        <w:numPr>
          <w:ilvl w:val="0"/>
          <w:numId w:val="41"/>
        </w:numPr>
        <w:spacing w:line="240" w:lineRule="auto"/>
        <w:ind w:left="1276" w:right="96" w:hanging="567"/>
        <w:jc w:val="both"/>
        <w:rPr>
          <w:b/>
          <w:sz w:val="20"/>
        </w:rPr>
      </w:pPr>
      <w:r w:rsidRPr="00F60E50">
        <w:rPr>
          <w:rFonts w:eastAsia="Times New Roman"/>
          <w:szCs w:val="24"/>
          <w:lang w:eastAsia="en-GB"/>
        </w:rPr>
        <w:t>Remuneration Committee  </w:t>
      </w:r>
    </w:p>
    <w:p w14:paraId="76B3209F" w14:textId="2022C441" w:rsidR="007326CB" w:rsidRPr="00E40FB8" w:rsidRDefault="00BA05B9" w:rsidP="00B258FA">
      <w:pPr>
        <w:pStyle w:val="ListParagraph"/>
        <w:numPr>
          <w:ilvl w:val="0"/>
          <w:numId w:val="41"/>
        </w:numPr>
        <w:spacing w:line="240" w:lineRule="auto"/>
        <w:ind w:left="1276" w:right="96" w:hanging="567"/>
        <w:jc w:val="both"/>
        <w:rPr>
          <w:b/>
          <w:sz w:val="20"/>
        </w:rPr>
      </w:pPr>
      <w:r>
        <w:rPr>
          <w:rFonts w:eastAsia="Times New Roman"/>
          <w:szCs w:val="24"/>
          <w:lang w:eastAsia="en-GB"/>
        </w:rPr>
        <w:t>Transformation</w:t>
      </w:r>
      <w:r w:rsidR="00EC373B">
        <w:rPr>
          <w:rFonts w:eastAsia="Times New Roman"/>
          <w:szCs w:val="24"/>
          <w:lang w:eastAsia="en-GB"/>
        </w:rPr>
        <w:t xml:space="preserve"> Committee</w:t>
      </w:r>
    </w:p>
    <w:p w14:paraId="0CFC329B" w14:textId="79EF7835" w:rsidR="0027191A" w:rsidRPr="00F60E50" w:rsidRDefault="0027191A" w:rsidP="00B258FA">
      <w:pPr>
        <w:pStyle w:val="ListParagraph"/>
        <w:numPr>
          <w:ilvl w:val="0"/>
          <w:numId w:val="41"/>
        </w:numPr>
        <w:spacing w:line="240" w:lineRule="auto"/>
        <w:ind w:left="1276" w:right="96" w:hanging="567"/>
        <w:jc w:val="both"/>
        <w:rPr>
          <w:b/>
          <w:sz w:val="20"/>
        </w:rPr>
      </w:pPr>
      <w:r>
        <w:rPr>
          <w:rFonts w:eastAsia="Times New Roman"/>
          <w:szCs w:val="24"/>
          <w:lang w:eastAsia="en-GB"/>
        </w:rPr>
        <w:t>Remediation Committee</w:t>
      </w:r>
    </w:p>
    <w:p w14:paraId="05AD4846" w14:textId="77777777" w:rsidR="007F2D0E" w:rsidRDefault="007F2D0E" w:rsidP="000D331C">
      <w:pPr>
        <w:ind w:left="720" w:right="95" w:hanging="720"/>
        <w:jc w:val="both"/>
        <w:rPr>
          <w:rFonts w:eastAsia="Times New Roman"/>
          <w:szCs w:val="24"/>
          <w:lang w:eastAsia="en-GB"/>
        </w:rPr>
      </w:pPr>
    </w:p>
    <w:p w14:paraId="5C949F34" w14:textId="76683FC7" w:rsidR="007F2D0E" w:rsidRPr="0060790E" w:rsidRDefault="007F2D0E" w:rsidP="005712F6">
      <w:pPr>
        <w:pStyle w:val="ListParagraph"/>
        <w:numPr>
          <w:ilvl w:val="0"/>
          <w:numId w:val="15"/>
        </w:numPr>
        <w:spacing w:line="240" w:lineRule="auto"/>
        <w:ind w:right="96" w:hanging="720"/>
        <w:jc w:val="both"/>
        <w:rPr>
          <w:rFonts w:eastAsia="Times New Roman"/>
          <w:szCs w:val="24"/>
          <w:lang w:eastAsia="en-GB"/>
        </w:rPr>
      </w:pPr>
      <w:r w:rsidRPr="0060790E">
        <w:rPr>
          <w:rFonts w:eastAsia="Times New Roman"/>
          <w:szCs w:val="24"/>
          <w:lang w:eastAsia="en-GB"/>
        </w:rPr>
        <w:t>The Board has authority to establish additional Committees of the Board from</w:t>
      </w:r>
      <w:r w:rsidR="00A5364A">
        <w:rPr>
          <w:rFonts w:eastAsia="Times New Roman"/>
          <w:szCs w:val="24"/>
          <w:lang w:eastAsia="en-GB"/>
        </w:rPr>
        <w:t xml:space="preserve"> </w:t>
      </w:r>
      <w:r w:rsidRPr="0060790E">
        <w:rPr>
          <w:rFonts w:eastAsia="Times New Roman"/>
          <w:szCs w:val="24"/>
          <w:lang w:eastAsia="en-GB"/>
        </w:rPr>
        <w:t>time to time. </w:t>
      </w:r>
    </w:p>
    <w:p w14:paraId="6E8771A8" w14:textId="77777777" w:rsidR="005712F6" w:rsidRPr="00E377AB" w:rsidRDefault="005712F6" w:rsidP="005712F6">
      <w:pPr>
        <w:spacing w:line="240" w:lineRule="auto"/>
        <w:ind w:left="567" w:right="96"/>
        <w:jc w:val="both"/>
        <w:rPr>
          <w:b/>
          <w:sz w:val="20"/>
        </w:rPr>
      </w:pPr>
    </w:p>
    <w:p w14:paraId="396A142C" w14:textId="42B40051" w:rsidR="007F2D0E" w:rsidRDefault="003E102C" w:rsidP="005712F6">
      <w:pPr>
        <w:pStyle w:val="ListParagraph"/>
        <w:numPr>
          <w:ilvl w:val="0"/>
          <w:numId w:val="2"/>
        </w:numPr>
        <w:spacing w:line="240" w:lineRule="auto"/>
        <w:ind w:left="709" w:right="96" w:hanging="709"/>
        <w:jc w:val="both"/>
        <w:rPr>
          <w:b/>
        </w:rPr>
      </w:pPr>
      <w:r>
        <w:rPr>
          <w:b/>
        </w:rPr>
        <w:t xml:space="preserve">Delegation to the Group </w:t>
      </w:r>
      <w:r w:rsidR="000248C6">
        <w:rPr>
          <w:b/>
        </w:rPr>
        <w:t>Chief Executive</w:t>
      </w:r>
      <w:r w:rsidR="007F2D0E" w:rsidRPr="00F60E50">
        <w:rPr>
          <w:b/>
        </w:rPr>
        <w:t xml:space="preserve"> Officer</w:t>
      </w:r>
    </w:p>
    <w:p w14:paraId="0829A000" w14:textId="77777777" w:rsidR="00357BD3" w:rsidRPr="00F60E50" w:rsidRDefault="00357BD3" w:rsidP="00FD31E2">
      <w:pPr>
        <w:pStyle w:val="ListParagraph"/>
        <w:ind w:left="709" w:right="95"/>
        <w:jc w:val="both"/>
        <w:rPr>
          <w:b/>
        </w:rPr>
      </w:pPr>
    </w:p>
    <w:p w14:paraId="3394203B" w14:textId="04952C6A" w:rsidR="00FA576E" w:rsidRPr="001307C5" w:rsidRDefault="00FA576E" w:rsidP="005712F6">
      <w:pPr>
        <w:pStyle w:val="ListParagraph"/>
        <w:numPr>
          <w:ilvl w:val="0"/>
          <w:numId w:val="15"/>
        </w:numPr>
        <w:spacing w:line="240" w:lineRule="auto"/>
        <w:ind w:hanging="720"/>
        <w:jc w:val="both"/>
      </w:pPr>
      <w:r w:rsidRPr="001307C5">
        <w:t xml:space="preserve">The </w:t>
      </w:r>
      <w:r w:rsidR="003E102C" w:rsidRPr="001307C5">
        <w:t xml:space="preserve">Group </w:t>
      </w:r>
      <w:r w:rsidR="000248C6" w:rsidRPr="001307C5">
        <w:t>Chief Executive</w:t>
      </w:r>
      <w:r w:rsidRPr="001307C5">
        <w:t xml:space="preserve"> Officer</w:t>
      </w:r>
      <w:r w:rsidR="00357BD3" w:rsidRPr="001307C5">
        <w:t xml:space="preserve"> (</w:t>
      </w:r>
      <w:r w:rsidR="001C101C" w:rsidRPr="001307C5">
        <w:t xml:space="preserve">Group </w:t>
      </w:r>
      <w:r w:rsidR="00357BD3" w:rsidRPr="001307C5">
        <w:t>CEO)</w:t>
      </w:r>
      <w:r w:rsidRPr="001307C5">
        <w:t xml:space="preserve"> is granted full authority for the </w:t>
      </w:r>
      <w:r w:rsidR="003E102C" w:rsidRPr="001307C5">
        <w:t xml:space="preserve">day-to-day </w:t>
      </w:r>
      <w:r w:rsidRPr="001307C5">
        <w:t xml:space="preserve">running of the business of the Company, including authority to make changes to the management, approve agreements (including novation, extension and/or variation of such agreements), and to accept risks, rights and obligations on behalf of the Company (including NDAs, Letters or Intent or </w:t>
      </w:r>
      <w:r w:rsidR="003E102C" w:rsidRPr="001307C5">
        <w:t>exclusivity obligations), other</w:t>
      </w:r>
      <w:r w:rsidRPr="001307C5">
        <w:t xml:space="preserve"> than those matters reserved to the Board</w:t>
      </w:r>
      <w:r w:rsidR="00317763" w:rsidRPr="001307C5">
        <w:t xml:space="preserve"> and</w:t>
      </w:r>
      <w:r w:rsidRPr="001307C5">
        <w:t xml:space="preserve"> Shareholder for its decision and subject to the limit of authority of up to £</w:t>
      </w:r>
      <w:r w:rsidR="001D19D5">
        <w:t>1</w:t>
      </w:r>
      <w:r w:rsidRPr="001307C5">
        <w:t xml:space="preserve">5,000,000 </w:t>
      </w:r>
      <w:r w:rsidR="00F10EC9">
        <w:t xml:space="preserve">excluding VAT </w:t>
      </w:r>
      <w:r w:rsidRPr="001307C5">
        <w:t xml:space="preserve">and any applicable internal policies and processes. </w:t>
      </w:r>
    </w:p>
    <w:p w14:paraId="54A551DF" w14:textId="77777777" w:rsidR="00FA576E" w:rsidRPr="001307C5" w:rsidRDefault="00FA576E" w:rsidP="005712F6">
      <w:pPr>
        <w:spacing w:line="240" w:lineRule="auto"/>
      </w:pPr>
    </w:p>
    <w:p w14:paraId="227847F0" w14:textId="412C64CD" w:rsidR="001125ED" w:rsidRPr="001307C5" w:rsidRDefault="00FA576E" w:rsidP="00823BE7">
      <w:pPr>
        <w:pStyle w:val="ListParagraph"/>
        <w:numPr>
          <w:ilvl w:val="0"/>
          <w:numId w:val="15"/>
        </w:numPr>
        <w:spacing w:line="240" w:lineRule="auto"/>
        <w:ind w:hanging="720"/>
        <w:jc w:val="both"/>
      </w:pPr>
      <w:r w:rsidRPr="001307C5">
        <w:t xml:space="preserve">The </w:t>
      </w:r>
      <w:r w:rsidR="001C101C" w:rsidRPr="001307C5">
        <w:t xml:space="preserve">Group </w:t>
      </w:r>
      <w:r w:rsidRPr="001307C5">
        <w:t>C</w:t>
      </w:r>
      <w:r w:rsidR="00357BD3" w:rsidRPr="001307C5">
        <w:t xml:space="preserve">EO </w:t>
      </w:r>
      <w:r w:rsidRPr="001307C5">
        <w:t xml:space="preserve">is also authorised to sub-delegate such authority as he </w:t>
      </w:r>
      <w:r w:rsidR="00116938" w:rsidRPr="001307C5">
        <w:t xml:space="preserve">or she </w:t>
      </w:r>
      <w:r w:rsidRPr="001307C5">
        <w:t>sees fit, including the power to further sub-delegate, provided tha</w:t>
      </w:r>
      <w:r w:rsidR="00370361">
        <w:t>t</w:t>
      </w:r>
      <w:r w:rsidRPr="001307C5">
        <w:t xml:space="preserve"> any such sub-delegation shall be within the limits of authority set out above and evidenced in writing (see Spend Approval Limits Appendix).</w:t>
      </w:r>
    </w:p>
    <w:p w14:paraId="0FB91515" w14:textId="77777777" w:rsidR="001125ED" w:rsidRDefault="001125ED" w:rsidP="005712F6">
      <w:pPr>
        <w:pStyle w:val="ListParagraph"/>
        <w:spacing w:line="240" w:lineRule="auto"/>
        <w:rPr>
          <w:b/>
        </w:rPr>
      </w:pPr>
    </w:p>
    <w:p w14:paraId="488085AA" w14:textId="69249174" w:rsidR="000D331C" w:rsidRPr="000D331C" w:rsidRDefault="00A15016" w:rsidP="000D331C">
      <w:pPr>
        <w:pStyle w:val="ListParagraph"/>
        <w:numPr>
          <w:ilvl w:val="0"/>
          <w:numId w:val="2"/>
        </w:numPr>
        <w:spacing w:after="120"/>
        <w:ind w:left="709" w:right="95" w:hanging="709"/>
        <w:jc w:val="both"/>
        <w:rPr>
          <w:b/>
        </w:rPr>
      </w:pPr>
      <w:r>
        <w:rPr>
          <w:b/>
        </w:rPr>
        <w:lastRenderedPageBreak/>
        <w:t>Composition and Governance</w:t>
      </w:r>
    </w:p>
    <w:p w14:paraId="74FC6FC9" w14:textId="451B96FC" w:rsidR="00122EBA" w:rsidRPr="00BF1FE8" w:rsidRDefault="00122EBA" w:rsidP="001307C5">
      <w:pPr>
        <w:spacing w:after="120"/>
        <w:ind w:left="709" w:right="95"/>
        <w:jc w:val="both"/>
        <w:rPr>
          <w:b/>
        </w:rPr>
      </w:pPr>
      <w:r w:rsidRPr="00BF1FE8">
        <w:rPr>
          <w:b/>
          <w:i/>
        </w:rPr>
        <w:t>Membership</w:t>
      </w:r>
    </w:p>
    <w:p w14:paraId="3316E921" w14:textId="5417D048" w:rsidR="001A05C4" w:rsidRPr="0063759F" w:rsidRDefault="001A05C4" w:rsidP="00823BE7">
      <w:pPr>
        <w:pStyle w:val="ListParagraph"/>
        <w:numPr>
          <w:ilvl w:val="0"/>
          <w:numId w:val="15"/>
        </w:numPr>
        <w:spacing w:line="240" w:lineRule="auto"/>
        <w:ind w:right="95" w:hanging="720"/>
        <w:jc w:val="both"/>
        <w:rPr>
          <w:b/>
          <w:i/>
        </w:rPr>
      </w:pPr>
      <w:r>
        <w:t xml:space="preserve">The minimum number of directors is two (Article 37), but there is no maximum. Appointment </w:t>
      </w:r>
      <w:r w:rsidR="006E51D3">
        <w:t xml:space="preserve">and any change to the minimum number of directors </w:t>
      </w:r>
      <w:r w:rsidR="00BB33A5">
        <w:t>is subject to the appropriate</w:t>
      </w:r>
      <w:r w:rsidR="003E102C">
        <w:t xml:space="preserve"> S</w:t>
      </w:r>
      <w:r>
        <w:t>hareholder approval.</w:t>
      </w:r>
      <w:r w:rsidR="003E102C">
        <w:t xml:space="preserve"> </w:t>
      </w:r>
    </w:p>
    <w:p w14:paraId="37A39729" w14:textId="77777777" w:rsidR="0063759F" w:rsidRPr="003E102C" w:rsidRDefault="0063759F" w:rsidP="00823BE7">
      <w:pPr>
        <w:pStyle w:val="ListParagraph"/>
        <w:spacing w:line="240" w:lineRule="auto"/>
        <w:ind w:left="709" w:right="95" w:hanging="425"/>
        <w:jc w:val="both"/>
        <w:rPr>
          <w:b/>
          <w:i/>
        </w:rPr>
      </w:pPr>
    </w:p>
    <w:p w14:paraId="2310281C" w14:textId="47F00E9D" w:rsidR="003E102C" w:rsidRPr="003E102C" w:rsidRDefault="003E102C" w:rsidP="00823BE7">
      <w:pPr>
        <w:pStyle w:val="ListParagraph"/>
        <w:numPr>
          <w:ilvl w:val="0"/>
          <w:numId w:val="15"/>
        </w:numPr>
        <w:spacing w:line="240" w:lineRule="auto"/>
        <w:ind w:left="709" w:right="95" w:hanging="709"/>
        <w:jc w:val="both"/>
        <w:rPr>
          <w:b/>
          <w:i/>
        </w:rPr>
      </w:pPr>
      <w:r>
        <w:t xml:space="preserve">Normally, terms of office will be three years for a maximum of two terms. However, this is at the discretion of the Shareholder. </w:t>
      </w:r>
    </w:p>
    <w:p w14:paraId="08BC0429" w14:textId="77777777" w:rsidR="003E102C" w:rsidRPr="003E102C" w:rsidRDefault="003E102C" w:rsidP="00823BE7">
      <w:pPr>
        <w:pStyle w:val="ListParagraph"/>
        <w:spacing w:line="240" w:lineRule="auto"/>
        <w:ind w:left="709" w:right="95" w:hanging="709"/>
        <w:jc w:val="both"/>
        <w:rPr>
          <w:b/>
          <w:i/>
        </w:rPr>
      </w:pPr>
    </w:p>
    <w:p w14:paraId="2A241EC3" w14:textId="11547EA6" w:rsidR="001A05C4" w:rsidRPr="001A05C4" w:rsidRDefault="00D40132" w:rsidP="66D33B47">
      <w:pPr>
        <w:pStyle w:val="ListParagraph"/>
        <w:numPr>
          <w:ilvl w:val="0"/>
          <w:numId w:val="15"/>
        </w:numPr>
        <w:spacing w:line="240" w:lineRule="auto"/>
        <w:ind w:left="709" w:right="95" w:hanging="709"/>
        <w:jc w:val="both"/>
        <w:rPr>
          <w:b/>
          <w:bCs/>
          <w:i/>
          <w:iCs/>
        </w:rPr>
      </w:pPr>
      <w:r>
        <w:t xml:space="preserve">The composition of the Board </w:t>
      </w:r>
      <w:r w:rsidR="00087B47">
        <w:t>comprises</w:t>
      </w:r>
      <w:r w:rsidR="00964394">
        <w:t xml:space="preserve"> </w:t>
      </w:r>
      <w:r w:rsidR="00057E71">
        <w:rPr>
          <w:rStyle w:val="FootnoteReference"/>
        </w:rPr>
        <w:footnoteReference w:id="30"/>
      </w:r>
      <w:r w:rsidR="00964394">
        <w:t xml:space="preserve">: </w:t>
      </w:r>
      <w:r>
        <w:t xml:space="preserve"> </w:t>
      </w:r>
    </w:p>
    <w:p w14:paraId="46BCE1C0" w14:textId="77777777" w:rsidR="001A05C4" w:rsidRPr="00CD78E8" w:rsidRDefault="001A05C4" w:rsidP="00823BE7">
      <w:pPr>
        <w:pStyle w:val="ListParagraph"/>
        <w:spacing w:line="240" w:lineRule="auto"/>
        <w:jc w:val="both"/>
        <w:rPr>
          <w:b/>
          <w:i/>
        </w:rPr>
      </w:pPr>
    </w:p>
    <w:p w14:paraId="572D6475" w14:textId="3FCAEBF3" w:rsidR="001A05C4" w:rsidRPr="00D40132" w:rsidRDefault="00AD0D61" w:rsidP="00823BE7">
      <w:pPr>
        <w:pStyle w:val="ListParagraph"/>
        <w:numPr>
          <w:ilvl w:val="0"/>
          <w:numId w:val="42"/>
        </w:numPr>
        <w:spacing w:line="240" w:lineRule="auto"/>
        <w:ind w:left="1276" w:right="-514" w:hanging="567"/>
        <w:jc w:val="both"/>
      </w:pPr>
      <w:r>
        <w:t>A</w:t>
      </w:r>
      <w:r w:rsidR="00070FD6">
        <w:t>n Independent</w:t>
      </w:r>
      <w:r>
        <w:t xml:space="preserve"> </w:t>
      </w:r>
      <w:r w:rsidR="001A05C4" w:rsidRPr="00D40132">
        <w:t xml:space="preserve">Non-Executive </w:t>
      </w:r>
      <w:r>
        <w:t xml:space="preserve">Director </w:t>
      </w:r>
      <w:r w:rsidR="001A05C4" w:rsidRPr="00D40132">
        <w:t xml:space="preserve">Chair; </w:t>
      </w:r>
    </w:p>
    <w:p w14:paraId="3F554C6E" w14:textId="5E59E5E9" w:rsidR="00122EBA" w:rsidRPr="00D40132" w:rsidRDefault="00AD0D61" w:rsidP="00823BE7">
      <w:pPr>
        <w:pStyle w:val="ListParagraph"/>
        <w:numPr>
          <w:ilvl w:val="0"/>
          <w:numId w:val="42"/>
        </w:numPr>
        <w:spacing w:line="240" w:lineRule="auto"/>
        <w:ind w:left="1276" w:right="-514" w:hanging="567"/>
        <w:jc w:val="both"/>
      </w:pPr>
      <w:r>
        <w:t xml:space="preserve">A </w:t>
      </w:r>
      <w:r w:rsidR="00122EBA" w:rsidRPr="00D40132">
        <w:t>Senior Independent Non-Executive Director;</w:t>
      </w:r>
    </w:p>
    <w:p w14:paraId="0373B0F4" w14:textId="718B5582" w:rsidR="001A05C4" w:rsidRPr="00D40132" w:rsidRDefault="00070FD6" w:rsidP="00823BE7">
      <w:pPr>
        <w:pStyle w:val="ListParagraph"/>
        <w:numPr>
          <w:ilvl w:val="0"/>
          <w:numId w:val="42"/>
        </w:numPr>
        <w:spacing w:line="240" w:lineRule="auto"/>
        <w:ind w:left="1276" w:right="-514" w:hanging="567"/>
        <w:jc w:val="both"/>
      </w:pPr>
      <w:r>
        <w:t xml:space="preserve">Independent </w:t>
      </w:r>
      <w:r w:rsidR="001A05C4">
        <w:t>Non-Executive Directors;</w:t>
      </w:r>
    </w:p>
    <w:p w14:paraId="0613DCFB" w14:textId="095C46B4" w:rsidR="00AE7713" w:rsidRDefault="63B1C43E" w:rsidP="00823BE7">
      <w:pPr>
        <w:pStyle w:val="ListParagraph"/>
        <w:numPr>
          <w:ilvl w:val="0"/>
          <w:numId w:val="42"/>
        </w:numPr>
        <w:spacing w:line="240" w:lineRule="auto"/>
        <w:ind w:left="1276" w:right="-514" w:hanging="567"/>
        <w:jc w:val="both"/>
      </w:pPr>
      <w:r>
        <w:t xml:space="preserve">A </w:t>
      </w:r>
      <w:r w:rsidR="001A05C4">
        <w:t xml:space="preserve">Shareholder </w:t>
      </w:r>
      <w:r w:rsidR="00070FD6">
        <w:t>Non-Executive Director;</w:t>
      </w:r>
    </w:p>
    <w:p w14:paraId="085828F5" w14:textId="6363E5DC" w:rsidR="001A05C4" w:rsidRPr="00D40132" w:rsidRDefault="00AE7713" w:rsidP="00823BE7">
      <w:pPr>
        <w:pStyle w:val="ListParagraph"/>
        <w:numPr>
          <w:ilvl w:val="0"/>
          <w:numId w:val="42"/>
        </w:numPr>
        <w:spacing w:line="240" w:lineRule="auto"/>
        <w:ind w:left="1276" w:right="-514" w:hanging="567"/>
        <w:jc w:val="both"/>
      </w:pPr>
      <w:r>
        <w:t>Two Postmaster Non-Executive Directors</w:t>
      </w:r>
      <w:r w:rsidR="00070FD6">
        <w:t>;</w:t>
      </w:r>
      <w:r w:rsidR="00122EBA" w:rsidRPr="00D40132">
        <w:t xml:space="preserve"> and </w:t>
      </w:r>
    </w:p>
    <w:p w14:paraId="3927E7D7" w14:textId="2E44C804" w:rsidR="001A05C4" w:rsidRPr="00CD78E8" w:rsidRDefault="001A05C4" w:rsidP="00823BE7">
      <w:pPr>
        <w:pStyle w:val="ListParagraph"/>
        <w:numPr>
          <w:ilvl w:val="0"/>
          <w:numId w:val="42"/>
        </w:numPr>
        <w:spacing w:line="240" w:lineRule="auto"/>
        <w:ind w:left="1276" w:right="95" w:hanging="567"/>
        <w:jc w:val="both"/>
      </w:pPr>
      <w:r>
        <w:t xml:space="preserve">Two Executive Directors, being the </w:t>
      </w:r>
      <w:r w:rsidR="001C101C">
        <w:t xml:space="preserve">Group </w:t>
      </w:r>
      <w:r w:rsidR="000248C6">
        <w:t>CEO</w:t>
      </w:r>
      <w:r>
        <w:t xml:space="preserve"> and </w:t>
      </w:r>
      <w:r w:rsidR="00D40132">
        <w:t xml:space="preserve">Group </w:t>
      </w:r>
      <w:r w:rsidR="000248C6">
        <w:t>Chief Financ</w:t>
      </w:r>
      <w:r w:rsidR="00847D26">
        <w:t>e</w:t>
      </w:r>
      <w:r w:rsidR="000248C6">
        <w:t xml:space="preserve"> Officer</w:t>
      </w:r>
      <w:r>
        <w:t xml:space="preserve">. </w:t>
      </w:r>
    </w:p>
    <w:p w14:paraId="315F23AD" w14:textId="77777777" w:rsidR="001A05C4" w:rsidRPr="001A05C4" w:rsidRDefault="001A05C4" w:rsidP="00823BE7">
      <w:pPr>
        <w:pStyle w:val="ListParagraph"/>
        <w:spacing w:line="240" w:lineRule="auto"/>
        <w:ind w:right="95"/>
        <w:jc w:val="both"/>
        <w:rPr>
          <w:b/>
          <w:i/>
        </w:rPr>
      </w:pPr>
    </w:p>
    <w:p w14:paraId="5A994598" w14:textId="3DDC2108" w:rsidR="005B3687" w:rsidRDefault="005B3687" w:rsidP="005712F6">
      <w:pPr>
        <w:spacing w:line="240" w:lineRule="auto"/>
        <w:ind w:left="709" w:right="95"/>
        <w:jc w:val="both"/>
        <w:rPr>
          <w:b/>
          <w:i/>
        </w:rPr>
      </w:pPr>
      <w:r w:rsidRPr="005B3687">
        <w:rPr>
          <w:b/>
          <w:i/>
        </w:rPr>
        <w:t>Secretary</w:t>
      </w:r>
    </w:p>
    <w:p w14:paraId="6A3D2483" w14:textId="77777777" w:rsidR="005B3687" w:rsidRDefault="005B3687" w:rsidP="005712F6">
      <w:pPr>
        <w:spacing w:line="240" w:lineRule="auto"/>
        <w:ind w:left="567" w:right="95"/>
        <w:jc w:val="both"/>
        <w:rPr>
          <w:b/>
          <w:i/>
        </w:rPr>
      </w:pPr>
    </w:p>
    <w:p w14:paraId="7A2C34B7" w14:textId="26FC99F3" w:rsidR="00A5364A" w:rsidRPr="002D13FB" w:rsidRDefault="00122EBA" w:rsidP="005712F6">
      <w:pPr>
        <w:pStyle w:val="ListParagraph"/>
        <w:numPr>
          <w:ilvl w:val="0"/>
          <w:numId w:val="15"/>
        </w:numPr>
        <w:spacing w:line="240" w:lineRule="auto"/>
        <w:ind w:right="96" w:hanging="720"/>
        <w:jc w:val="both"/>
        <w:rPr>
          <w:b/>
          <w:i/>
        </w:rPr>
      </w:pPr>
      <w:r>
        <w:t xml:space="preserve">The </w:t>
      </w:r>
      <w:r w:rsidR="00FD1A75">
        <w:t xml:space="preserve">Group </w:t>
      </w:r>
      <w:r>
        <w:t>Company Secretary,</w:t>
      </w:r>
      <w:r w:rsidRPr="002D13FB">
        <w:rPr>
          <w:rFonts w:cs="Arial"/>
          <w:color w:val="000000"/>
        </w:rPr>
        <w:t xml:space="preserve"> or his or her nominee,</w:t>
      </w:r>
      <w:r>
        <w:t xml:space="preserve"> </w:t>
      </w:r>
      <w:r w:rsidRPr="005F2FDE">
        <w:t xml:space="preserve">shall not be a member of the </w:t>
      </w:r>
      <w:r>
        <w:t>Board</w:t>
      </w:r>
      <w:r w:rsidRPr="005F2FDE">
        <w:t xml:space="preserve"> but shall act as Secretary to the </w:t>
      </w:r>
      <w:r>
        <w:t>Board</w:t>
      </w:r>
      <w:r w:rsidRPr="005F2FDE">
        <w:t xml:space="preserve"> and shall keep minutes and records of each meeting</w:t>
      </w:r>
      <w:r w:rsidR="00116938">
        <w:t>, as required by the Companies Act 2006</w:t>
      </w:r>
      <w:r>
        <w:t>.</w:t>
      </w:r>
    </w:p>
    <w:p w14:paraId="008AE2A4" w14:textId="77777777" w:rsidR="00122EBA" w:rsidRPr="00122EBA" w:rsidRDefault="00122EBA" w:rsidP="005712F6">
      <w:pPr>
        <w:pStyle w:val="ListParagraph"/>
        <w:spacing w:line="240" w:lineRule="auto"/>
        <w:ind w:left="709" w:right="96"/>
        <w:jc w:val="both"/>
        <w:rPr>
          <w:b/>
          <w:i/>
        </w:rPr>
      </w:pPr>
    </w:p>
    <w:p w14:paraId="53A7FA74" w14:textId="71440A4C" w:rsidR="00122EBA" w:rsidRPr="00122EBA" w:rsidRDefault="00122EBA" w:rsidP="005712F6">
      <w:pPr>
        <w:pStyle w:val="ListParagraph"/>
        <w:numPr>
          <w:ilvl w:val="0"/>
          <w:numId w:val="15"/>
        </w:numPr>
        <w:spacing w:line="240" w:lineRule="auto"/>
        <w:ind w:left="709" w:right="96" w:hanging="709"/>
        <w:jc w:val="both"/>
        <w:rPr>
          <w:b/>
          <w:i/>
        </w:rPr>
      </w:pPr>
      <w:r w:rsidRPr="005F2FDE">
        <w:t xml:space="preserve">Minutes of each meeting will be circulated to </w:t>
      </w:r>
      <w:r>
        <w:t xml:space="preserve">the Chair for approval and then to </w:t>
      </w:r>
      <w:r w:rsidRPr="005F2FDE">
        <w:t xml:space="preserve">all members of the </w:t>
      </w:r>
      <w:r>
        <w:t>Board. Minutes will be formally approved and signed at the next meeting.</w:t>
      </w:r>
    </w:p>
    <w:p w14:paraId="636DDD8C" w14:textId="77777777" w:rsidR="00122EBA" w:rsidRPr="00122EBA" w:rsidRDefault="00122EBA" w:rsidP="00122EBA">
      <w:pPr>
        <w:pStyle w:val="ListParagraph"/>
        <w:rPr>
          <w:b/>
          <w:i/>
        </w:rPr>
      </w:pPr>
    </w:p>
    <w:p w14:paraId="6112834D" w14:textId="7E0B44AE" w:rsidR="00A15016" w:rsidRDefault="005B3687" w:rsidP="005712F6">
      <w:pPr>
        <w:spacing w:line="240" w:lineRule="auto"/>
        <w:ind w:left="709" w:right="95"/>
        <w:jc w:val="both"/>
        <w:rPr>
          <w:b/>
          <w:i/>
        </w:rPr>
      </w:pPr>
      <w:r w:rsidRPr="005B3687">
        <w:rPr>
          <w:b/>
          <w:i/>
        </w:rPr>
        <w:t>Quorum</w:t>
      </w:r>
    </w:p>
    <w:p w14:paraId="3CC8A003" w14:textId="77777777" w:rsidR="00FA576E" w:rsidRDefault="00FA576E" w:rsidP="005712F6">
      <w:pPr>
        <w:spacing w:line="240" w:lineRule="auto"/>
        <w:ind w:left="567" w:right="95"/>
        <w:jc w:val="both"/>
        <w:rPr>
          <w:b/>
          <w:i/>
        </w:rPr>
      </w:pPr>
    </w:p>
    <w:p w14:paraId="534D757D" w14:textId="7D3C42FE" w:rsidR="00E27CCA" w:rsidRPr="00317763" w:rsidRDefault="00E27CCA" w:rsidP="005712F6">
      <w:pPr>
        <w:pStyle w:val="ListParagraph"/>
        <w:numPr>
          <w:ilvl w:val="0"/>
          <w:numId w:val="15"/>
        </w:numPr>
        <w:spacing w:line="240" w:lineRule="auto"/>
        <w:ind w:left="709" w:right="95" w:hanging="709"/>
        <w:jc w:val="both"/>
        <w:rPr>
          <w:b/>
          <w:i/>
        </w:rPr>
      </w:pPr>
      <w:r w:rsidRPr="00A35B3F">
        <w:t>The quorum for the transaction of business at a Board meeting shall be two directors</w:t>
      </w:r>
      <w:r w:rsidR="00122EBA">
        <w:t xml:space="preserve"> (Article 59)</w:t>
      </w:r>
      <w:r w:rsidR="00BB33A5">
        <w:t>.</w:t>
      </w:r>
    </w:p>
    <w:p w14:paraId="5DA126A8" w14:textId="77777777" w:rsidR="00E27CCA" w:rsidRDefault="00E27CCA" w:rsidP="005712F6">
      <w:pPr>
        <w:spacing w:line="240" w:lineRule="auto"/>
        <w:ind w:left="567" w:right="95"/>
        <w:jc w:val="both"/>
        <w:rPr>
          <w:b/>
          <w:i/>
        </w:rPr>
      </w:pPr>
    </w:p>
    <w:p w14:paraId="23DB4919" w14:textId="0E3A1A10" w:rsidR="005B3687" w:rsidRDefault="009B100C" w:rsidP="005712F6">
      <w:pPr>
        <w:pStyle w:val="ListParagraph"/>
        <w:spacing w:line="240" w:lineRule="auto"/>
        <w:ind w:left="709" w:right="95"/>
        <w:jc w:val="both"/>
        <w:rPr>
          <w:b/>
          <w:i/>
        </w:rPr>
      </w:pPr>
      <w:r>
        <w:rPr>
          <w:b/>
          <w:i/>
        </w:rPr>
        <w:t>Meetings</w:t>
      </w:r>
    </w:p>
    <w:p w14:paraId="25060FA9" w14:textId="3F4B0385" w:rsidR="00122EBA" w:rsidRDefault="00122EBA" w:rsidP="005712F6">
      <w:pPr>
        <w:pStyle w:val="ListParagraph"/>
        <w:spacing w:line="240" w:lineRule="auto"/>
        <w:ind w:left="709" w:right="95"/>
        <w:jc w:val="both"/>
        <w:rPr>
          <w:b/>
          <w:i/>
        </w:rPr>
      </w:pPr>
    </w:p>
    <w:p w14:paraId="467DD283" w14:textId="0D495CFD" w:rsidR="001B2654" w:rsidRPr="001B2654" w:rsidRDefault="00122EBA" w:rsidP="005712F6">
      <w:pPr>
        <w:pStyle w:val="ListParagraph"/>
        <w:numPr>
          <w:ilvl w:val="0"/>
          <w:numId w:val="15"/>
        </w:numPr>
        <w:spacing w:line="240" w:lineRule="auto"/>
        <w:ind w:left="709" w:right="96" w:hanging="709"/>
        <w:jc w:val="both"/>
        <w:rPr>
          <w:b/>
          <w:i/>
        </w:rPr>
      </w:pPr>
      <w:r w:rsidRPr="005F2FDE">
        <w:t xml:space="preserve">The </w:t>
      </w:r>
      <w:r>
        <w:t>Board</w:t>
      </w:r>
      <w:r w:rsidRPr="005F2FDE">
        <w:t xml:space="preserve"> shall meet as often as required</w:t>
      </w:r>
      <w:r w:rsidR="00214860">
        <w:t>, a</w:t>
      </w:r>
      <w:r w:rsidR="00116938">
        <w:t>nd</w:t>
      </w:r>
      <w:r w:rsidR="00214860">
        <w:t xml:space="preserve"> not less than once every quarter</w:t>
      </w:r>
      <w:r w:rsidRPr="005F2FDE">
        <w:t xml:space="preserve">. </w:t>
      </w:r>
      <w:r w:rsidR="005F265A">
        <w:t>A separate Strategy session will be held at least one a year.</w:t>
      </w:r>
      <w:r w:rsidRPr="005F2FDE">
        <w:t xml:space="preserve"> The </w:t>
      </w:r>
      <w:r>
        <w:t>Board</w:t>
      </w:r>
      <w:r w:rsidRPr="005F2FDE">
        <w:t xml:space="preserve"> may meet in person, by telephone or by other electronic means, so long as each member can contribute to the business of the meeting simultaneously</w:t>
      </w:r>
      <w:r>
        <w:t xml:space="preserve"> (Article 64)</w:t>
      </w:r>
      <w:r w:rsidRPr="005F2FDE">
        <w:t>.</w:t>
      </w:r>
    </w:p>
    <w:p w14:paraId="3C05B136" w14:textId="77777777" w:rsidR="001B2654" w:rsidRPr="001B2654" w:rsidRDefault="001B2654" w:rsidP="005712F6">
      <w:pPr>
        <w:pStyle w:val="ListParagraph"/>
        <w:spacing w:line="240" w:lineRule="auto"/>
        <w:ind w:left="644" w:right="96"/>
        <w:jc w:val="both"/>
        <w:rPr>
          <w:b/>
          <w:i/>
        </w:rPr>
      </w:pPr>
    </w:p>
    <w:p w14:paraId="48FFA401" w14:textId="77777777" w:rsidR="001B2654" w:rsidRPr="001B2654" w:rsidRDefault="001B2654" w:rsidP="005712F6">
      <w:pPr>
        <w:pStyle w:val="ListParagraph"/>
        <w:numPr>
          <w:ilvl w:val="0"/>
          <w:numId w:val="15"/>
        </w:numPr>
        <w:spacing w:line="240" w:lineRule="auto"/>
        <w:ind w:left="709" w:right="95" w:hanging="709"/>
        <w:jc w:val="both"/>
        <w:rPr>
          <w:b/>
          <w:i/>
        </w:rPr>
      </w:pPr>
      <w:r w:rsidRPr="005F2FDE">
        <w:t xml:space="preserve">Meetings may be convened by the Secretary to the </w:t>
      </w:r>
      <w:r>
        <w:t>Board</w:t>
      </w:r>
      <w:r w:rsidRPr="005F2FDE">
        <w:t>, at the r</w:t>
      </w:r>
      <w:r>
        <w:t xml:space="preserve">equest of the Chair, or any other director, </w:t>
      </w:r>
      <w:r w:rsidRPr="005F2FDE">
        <w:t>at any time.</w:t>
      </w:r>
    </w:p>
    <w:p w14:paraId="728D8A30" w14:textId="77777777" w:rsidR="001B2654" w:rsidRPr="001B2654" w:rsidRDefault="001B2654" w:rsidP="005712F6">
      <w:pPr>
        <w:pStyle w:val="ListParagraph"/>
        <w:spacing w:line="240" w:lineRule="auto"/>
        <w:rPr>
          <w:b/>
          <w:i/>
        </w:rPr>
      </w:pPr>
    </w:p>
    <w:p w14:paraId="29149836" w14:textId="23D2F2E6" w:rsidR="001B2654" w:rsidRPr="005F265A" w:rsidRDefault="001B2654" w:rsidP="00823BE7">
      <w:pPr>
        <w:pStyle w:val="ListParagraph"/>
        <w:numPr>
          <w:ilvl w:val="0"/>
          <w:numId w:val="15"/>
        </w:numPr>
        <w:spacing w:line="240" w:lineRule="auto"/>
        <w:ind w:left="709" w:right="95" w:hanging="709"/>
        <w:jc w:val="both"/>
        <w:rPr>
          <w:b/>
          <w:i/>
        </w:rPr>
      </w:pPr>
      <w:r w:rsidRPr="00D40132">
        <w:lastRenderedPageBreak/>
        <w:t>Notice of each meeting shall be given to all members of the Board and any other person required to attend, at least 3 working days before each meeting.</w:t>
      </w:r>
    </w:p>
    <w:p w14:paraId="26DDBCFB" w14:textId="77777777" w:rsidR="005F265A" w:rsidRPr="005F265A" w:rsidRDefault="005F265A" w:rsidP="00823BE7">
      <w:pPr>
        <w:pStyle w:val="ListParagraph"/>
        <w:spacing w:line="240" w:lineRule="auto"/>
        <w:jc w:val="both"/>
        <w:rPr>
          <w:b/>
          <w:i/>
        </w:rPr>
      </w:pPr>
    </w:p>
    <w:p w14:paraId="22D029BB" w14:textId="5DA4841D" w:rsidR="005F265A" w:rsidRPr="00D40132" w:rsidRDefault="005F265A" w:rsidP="00823BE7">
      <w:pPr>
        <w:pStyle w:val="ListParagraph"/>
        <w:numPr>
          <w:ilvl w:val="0"/>
          <w:numId w:val="15"/>
        </w:numPr>
        <w:spacing w:line="240" w:lineRule="auto"/>
        <w:ind w:left="709" w:right="95" w:hanging="709"/>
        <w:jc w:val="both"/>
        <w:rPr>
          <w:b/>
          <w:i/>
        </w:rPr>
      </w:pPr>
      <w:r>
        <w:t>Other Group employees and/or external consultants may attend for part or the whole of any Board meeting at the invitation of the Chair.</w:t>
      </w:r>
    </w:p>
    <w:p w14:paraId="005169AA" w14:textId="77777777" w:rsidR="001B2654" w:rsidRPr="001B2654" w:rsidRDefault="001B2654" w:rsidP="00823BE7">
      <w:pPr>
        <w:pStyle w:val="ListParagraph"/>
        <w:spacing w:line="240" w:lineRule="auto"/>
        <w:ind w:left="709" w:hanging="709"/>
        <w:jc w:val="both"/>
        <w:rPr>
          <w:b/>
          <w:i/>
        </w:rPr>
      </w:pPr>
    </w:p>
    <w:p w14:paraId="7C4FFE12" w14:textId="0845286B" w:rsidR="001B2654" w:rsidRPr="00832916" w:rsidRDefault="001B2654" w:rsidP="00823BE7">
      <w:pPr>
        <w:pStyle w:val="ListParagraph"/>
        <w:numPr>
          <w:ilvl w:val="0"/>
          <w:numId w:val="15"/>
        </w:numPr>
        <w:spacing w:line="240" w:lineRule="auto"/>
        <w:ind w:left="709" w:right="95" w:hanging="709"/>
        <w:jc w:val="both"/>
        <w:rPr>
          <w:b/>
          <w:i/>
        </w:rPr>
      </w:pPr>
      <w:r>
        <w:t>Resolutions may be made in writing</w:t>
      </w:r>
      <w:r w:rsidR="00D40132">
        <w:rPr>
          <w:rStyle w:val="FootnoteReference"/>
        </w:rPr>
        <w:footnoteReference w:id="31"/>
      </w:r>
      <w:r>
        <w:t xml:space="preserve"> if signed by all directors entitled to receive notice of the meeting (Article 63).</w:t>
      </w:r>
    </w:p>
    <w:p w14:paraId="57E88EF9" w14:textId="77777777" w:rsidR="00832916" w:rsidRPr="00832916" w:rsidRDefault="00832916" w:rsidP="00823BE7">
      <w:pPr>
        <w:pStyle w:val="ListParagraph"/>
        <w:spacing w:line="240" w:lineRule="auto"/>
        <w:jc w:val="both"/>
        <w:rPr>
          <w:b/>
          <w:i/>
        </w:rPr>
      </w:pPr>
    </w:p>
    <w:p w14:paraId="07362233" w14:textId="1D32F79E" w:rsidR="00832916" w:rsidRPr="00832916" w:rsidRDefault="00832916" w:rsidP="00823BE7">
      <w:pPr>
        <w:pStyle w:val="ListParagraph"/>
        <w:numPr>
          <w:ilvl w:val="0"/>
          <w:numId w:val="15"/>
        </w:numPr>
        <w:spacing w:line="240" w:lineRule="auto"/>
        <w:ind w:left="709" w:right="95" w:hanging="709"/>
        <w:jc w:val="both"/>
      </w:pPr>
      <w:r w:rsidRPr="00832916">
        <w:t>The Non-Executive Directors shall meet</w:t>
      </w:r>
      <w:r>
        <w:t xml:space="preserve"> at least twice per year without the executive directors being present. </w:t>
      </w:r>
    </w:p>
    <w:p w14:paraId="5D4E31F0" w14:textId="77777777" w:rsidR="00350E3C" w:rsidRDefault="00350E3C" w:rsidP="005712F6">
      <w:pPr>
        <w:spacing w:line="240" w:lineRule="auto"/>
        <w:ind w:right="95"/>
      </w:pPr>
    </w:p>
    <w:p w14:paraId="199299BB" w14:textId="0EB537E2" w:rsidR="007F2D0E" w:rsidRPr="00BF1FE8" w:rsidRDefault="007F2D0E" w:rsidP="005712F6">
      <w:pPr>
        <w:pStyle w:val="ListParagraph"/>
        <w:numPr>
          <w:ilvl w:val="0"/>
          <w:numId w:val="2"/>
        </w:numPr>
        <w:spacing w:line="240" w:lineRule="auto"/>
        <w:ind w:right="95" w:hanging="720"/>
        <w:rPr>
          <w:b/>
        </w:rPr>
      </w:pPr>
      <w:r w:rsidRPr="00BF1FE8">
        <w:rPr>
          <w:b/>
        </w:rPr>
        <w:t>ANNUAL REVIEW AND APPROVAL</w:t>
      </w:r>
    </w:p>
    <w:p w14:paraId="28205109" w14:textId="77777777" w:rsidR="007F2D0E" w:rsidRPr="006B235A" w:rsidRDefault="007F2D0E" w:rsidP="005712F6">
      <w:pPr>
        <w:spacing w:line="240" w:lineRule="auto"/>
        <w:ind w:right="95"/>
      </w:pPr>
    </w:p>
    <w:p w14:paraId="373DF2C6" w14:textId="1432581A" w:rsidR="0060790E" w:rsidRDefault="0060790E" w:rsidP="005712F6">
      <w:pPr>
        <w:pStyle w:val="ListParagraph"/>
        <w:numPr>
          <w:ilvl w:val="0"/>
          <w:numId w:val="15"/>
        </w:numPr>
        <w:spacing w:line="240" w:lineRule="auto"/>
        <w:ind w:right="95" w:hanging="720"/>
        <w:jc w:val="both"/>
      </w:pPr>
      <w:r>
        <w:t xml:space="preserve">The Board will undertake an annual review of its performance and the content of the Matters Reserved (subject to the Articles of Association). The Board will approval any changes to these Matters Reserved pursuant to the annual review or whenever so required. </w:t>
      </w:r>
    </w:p>
    <w:p w14:paraId="520D1C7D" w14:textId="77777777" w:rsidR="007F2D0E" w:rsidRPr="006B235A" w:rsidRDefault="007F2D0E" w:rsidP="0074555B">
      <w:pPr>
        <w:spacing w:line="240" w:lineRule="auto"/>
        <w:rPr>
          <w:b/>
        </w:rPr>
      </w:pPr>
    </w:p>
    <w:tbl>
      <w:tblPr>
        <w:tblStyle w:val="TableGrid"/>
        <w:tblW w:w="8222" w:type="dxa"/>
        <w:tblInd w:w="704" w:type="dxa"/>
        <w:tblLayout w:type="fixed"/>
        <w:tblLook w:val="04A0" w:firstRow="1" w:lastRow="0" w:firstColumn="1" w:lastColumn="0" w:noHBand="0" w:noVBand="1"/>
      </w:tblPr>
      <w:tblGrid>
        <w:gridCol w:w="3080"/>
        <w:gridCol w:w="1701"/>
        <w:gridCol w:w="1417"/>
        <w:gridCol w:w="2024"/>
      </w:tblGrid>
      <w:tr w:rsidR="007F2D0E" w14:paraId="656DA753" w14:textId="77777777" w:rsidTr="219E7FC9">
        <w:tc>
          <w:tcPr>
            <w:tcW w:w="3080" w:type="dxa"/>
          </w:tcPr>
          <w:p w14:paraId="5C0AC2BF" w14:textId="77777777" w:rsidR="007F2D0E" w:rsidRPr="004E69A9" w:rsidRDefault="007F2D0E" w:rsidP="00C9181F">
            <w:pPr>
              <w:ind w:right="-514"/>
              <w:rPr>
                <w:b/>
                <w:sz w:val="18"/>
                <w:szCs w:val="18"/>
              </w:rPr>
            </w:pPr>
            <w:r w:rsidRPr="004E69A9">
              <w:rPr>
                <w:b/>
                <w:sz w:val="18"/>
                <w:szCs w:val="18"/>
              </w:rPr>
              <w:t>Approved by:</w:t>
            </w:r>
          </w:p>
        </w:tc>
        <w:tc>
          <w:tcPr>
            <w:tcW w:w="1701" w:type="dxa"/>
          </w:tcPr>
          <w:p w14:paraId="23DE0356" w14:textId="77777777" w:rsidR="007F2D0E" w:rsidRPr="004E69A9" w:rsidRDefault="007F2D0E" w:rsidP="00C9181F">
            <w:pPr>
              <w:ind w:right="-514"/>
              <w:rPr>
                <w:b/>
                <w:sz w:val="18"/>
                <w:szCs w:val="18"/>
              </w:rPr>
            </w:pPr>
            <w:r>
              <w:rPr>
                <w:b/>
                <w:sz w:val="18"/>
                <w:szCs w:val="18"/>
              </w:rPr>
              <w:t>Date:</w:t>
            </w:r>
          </w:p>
        </w:tc>
        <w:tc>
          <w:tcPr>
            <w:tcW w:w="1417" w:type="dxa"/>
          </w:tcPr>
          <w:p w14:paraId="1732CDF1" w14:textId="77777777" w:rsidR="007F2D0E" w:rsidRPr="004E69A9" w:rsidRDefault="007F2D0E" w:rsidP="00C9181F">
            <w:pPr>
              <w:ind w:right="-514"/>
              <w:rPr>
                <w:b/>
                <w:sz w:val="18"/>
                <w:szCs w:val="18"/>
              </w:rPr>
            </w:pPr>
            <w:r w:rsidRPr="004E69A9">
              <w:rPr>
                <w:b/>
                <w:sz w:val="18"/>
                <w:szCs w:val="18"/>
              </w:rPr>
              <w:t>Version:</w:t>
            </w:r>
          </w:p>
        </w:tc>
        <w:tc>
          <w:tcPr>
            <w:tcW w:w="2024" w:type="dxa"/>
          </w:tcPr>
          <w:p w14:paraId="131345E9" w14:textId="77777777" w:rsidR="007F2D0E" w:rsidRPr="004E69A9" w:rsidRDefault="007F2D0E" w:rsidP="00C9181F">
            <w:pPr>
              <w:ind w:right="-514"/>
              <w:rPr>
                <w:b/>
                <w:sz w:val="18"/>
                <w:szCs w:val="18"/>
              </w:rPr>
            </w:pPr>
            <w:r w:rsidRPr="004E69A9">
              <w:rPr>
                <w:b/>
                <w:sz w:val="18"/>
                <w:szCs w:val="18"/>
              </w:rPr>
              <w:t>Effective from:</w:t>
            </w:r>
          </w:p>
        </w:tc>
      </w:tr>
      <w:tr w:rsidR="007F2D0E" w14:paraId="4D08AA82" w14:textId="77777777" w:rsidTr="219E7FC9">
        <w:tc>
          <w:tcPr>
            <w:tcW w:w="3080" w:type="dxa"/>
          </w:tcPr>
          <w:p w14:paraId="3AB91762" w14:textId="377C0880" w:rsidR="007F2D0E" w:rsidRPr="004E69A9" w:rsidRDefault="00494BC5" w:rsidP="00C9181F">
            <w:pPr>
              <w:ind w:right="-514"/>
              <w:rPr>
                <w:sz w:val="18"/>
                <w:szCs w:val="18"/>
              </w:rPr>
            </w:pPr>
            <w:r>
              <w:rPr>
                <w:sz w:val="18"/>
                <w:szCs w:val="18"/>
              </w:rPr>
              <w:t>Post Office Limited Board</w:t>
            </w:r>
          </w:p>
        </w:tc>
        <w:tc>
          <w:tcPr>
            <w:tcW w:w="1701" w:type="dxa"/>
          </w:tcPr>
          <w:p w14:paraId="69C2EA95" w14:textId="609358BA" w:rsidR="007F2D0E" w:rsidRPr="004E69A9" w:rsidRDefault="0074555B" w:rsidP="00C9181F">
            <w:pPr>
              <w:ind w:right="-514"/>
              <w:rPr>
                <w:sz w:val="18"/>
                <w:szCs w:val="18"/>
              </w:rPr>
            </w:pPr>
            <w:r>
              <w:rPr>
                <w:sz w:val="18"/>
                <w:szCs w:val="18"/>
              </w:rPr>
              <w:t xml:space="preserve">February </w:t>
            </w:r>
            <w:r w:rsidR="0063759F">
              <w:rPr>
                <w:sz w:val="18"/>
                <w:szCs w:val="18"/>
              </w:rPr>
              <w:t>2015</w:t>
            </w:r>
          </w:p>
        </w:tc>
        <w:tc>
          <w:tcPr>
            <w:tcW w:w="1417" w:type="dxa"/>
          </w:tcPr>
          <w:p w14:paraId="75AE4A1D" w14:textId="301FBAF9" w:rsidR="007F2D0E" w:rsidRPr="004E69A9" w:rsidRDefault="00494BC5" w:rsidP="0063759F">
            <w:pPr>
              <w:ind w:right="-514"/>
              <w:rPr>
                <w:sz w:val="18"/>
                <w:szCs w:val="18"/>
              </w:rPr>
            </w:pPr>
            <w:r>
              <w:rPr>
                <w:sz w:val="18"/>
                <w:szCs w:val="18"/>
              </w:rPr>
              <w:t>1.0</w:t>
            </w:r>
          </w:p>
        </w:tc>
        <w:tc>
          <w:tcPr>
            <w:tcW w:w="2024" w:type="dxa"/>
          </w:tcPr>
          <w:p w14:paraId="3A5E41A2" w14:textId="0FBFC14C" w:rsidR="007F2D0E" w:rsidRPr="004E69A9" w:rsidRDefault="0074555B" w:rsidP="00FD31E2">
            <w:pPr>
              <w:ind w:right="-514"/>
              <w:rPr>
                <w:sz w:val="18"/>
                <w:szCs w:val="18"/>
              </w:rPr>
            </w:pPr>
            <w:r>
              <w:rPr>
                <w:sz w:val="18"/>
                <w:szCs w:val="18"/>
              </w:rPr>
              <w:t xml:space="preserve">February </w:t>
            </w:r>
            <w:r w:rsidR="00042B24">
              <w:rPr>
                <w:sz w:val="18"/>
                <w:szCs w:val="18"/>
              </w:rPr>
              <w:t>2015</w:t>
            </w:r>
          </w:p>
        </w:tc>
      </w:tr>
      <w:tr w:rsidR="007F2D0E" w14:paraId="12CCA5D2" w14:textId="77777777" w:rsidTr="219E7FC9">
        <w:tc>
          <w:tcPr>
            <w:tcW w:w="3080" w:type="dxa"/>
          </w:tcPr>
          <w:p w14:paraId="60822214" w14:textId="541C09D5" w:rsidR="007F2D0E" w:rsidRPr="004E69A9" w:rsidRDefault="00494BC5" w:rsidP="00494BC5">
            <w:pPr>
              <w:ind w:right="-514"/>
              <w:rPr>
                <w:sz w:val="18"/>
                <w:szCs w:val="18"/>
              </w:rPr>
            </w:pPr>
            <w:r>
              <w:rPr>
                <w:sz w:val="18"/>
                <w:szCs w:val="18"/>
              </w:rPr>
              <w:t xml:space="preserve">Post Office Limited Board </w:t>
            </w:r>
          </w:p>
        </w:tc>
        <w:tc>
          <w:tcPr>
            <w:tcW w:w="1701" w:type="dxa"/>
          </w:tcPr>
          <w:p w14:paraId="7B6245D5" w14:textId="6EAA32DC" w:rsidR="007F2D0E" w:rsidRPr="004E69A9" w:rsidRDefault="00BF1FE8" w:rsidP="00C9181F">
            <w:pPr>
              <w:ind w:right="-514"/>
              <w:rPr>
                <w:sz w:val="18"/>
                <w:szCs w:val="18"/>
              </w:rPr>
            </w:pPr>
            <w:r>
              <w:rPr>
                <w:sz w:val="18"/>
                <w:szCs w:val="18"/>
              </w:rPr>
              <w:t>08/04</w:t>
            </w:r>
            <w:r w:rsidR="00494BC5">
              <w:rPr>
                <w:sz w:val="18"/>
                <w:szCs w:val="18"/>
              </w:rPr>
              <w:t>/2020</w:t>
            </w:r>
          </w:p>
        </w:tc>
        <w:tc>
          <w:tcPr>
            <w:tcW w:w="1417" w:type="dxa"/>
          </w:tcPr>
          <w:p w14:paraId="041E0427" w14:textId="4C54AA76" w:rsidR="007F2D0E" w:rsidRPr="004E69A9" w:rsidRDefault="00494BC5" w:rsidP="00C9181F">
            <w:pPr>
              <w:ind w:right="-514"/>
              <w:rPr>
                <w:sz w:val="18"/>
                <w:szCs w:val="18"/>
              </w:rPr>
            </w:pPr>
            <w:r>
              <w:rPr>
                <w:sz w:val="18"/>
                <w:szCs w:val="18"/>
              </w:rPr>
              <w:t>2.0</w:t>
            </w:r>
          </w:p>
        </w:tc>
        <w:tc>
          <w:tcPr>
            <w:tcW w:w="2024" w:type="dxa"/>
          </w:tcPr>
          <w:p w14:paraId="0E9204BE" w14:textId="327BA835" w:rsidR="007F2D0E" w:rsidRPr="004E69A9" w:rsidRDefault="00FF7D67" w:rsidP="00C9181F">
            <w:pPr>
              <w:ind w:right="-514"/>
              <w:rPr>
                <w:sz w:val="18"/>
                <w:szCs w:val="18"/>
              </w:rPr>
            </w:pPr>
            <w:r>
              <w:rPr>
                <w:sz w:val="18"/>
                <w:szCs w:val="18"/>
              </w:rPr>
              <w:t>09/04/2020</w:t>
            </w:r>
          </w:p>
        </w:tc>
      </w:tr>
      <w:tr w:rsidR="007F2D0E" w14:paraId="360727B9" w14:textId="77777777" w:rsidTr="219E7FC9">
        <w:tc>
          <w:tcPr>
            <w:tcW w:w="3080" w:type="dxa"/>
          </w:tcPr>
          <w:p w14:paraId="500236FD" w14:textId="22CEDFCA" w:rsidR="007F2D0E" w:rsidRPr="004E69A9" w:rsidRDefault="001304F7" w:rsidP="00C9181F">
            <w:pPr>
              <w:ind w:right="-514"/>
              <w:rPr>
                <w:sz w:val="18"/>
                <w:szCs w:val="18"/>
              </w:rPr>
            </w:pPr>
            <w:r>
              <w:rPr>
                <w:sz w:val="18"/>
                <w:szCs w:val="18"/>
              </w:rPr>
              <w:t>Post Office Limited Board</w:t>
            </w:r>
          </w:p>
        </w:tc>
        <w:tc>
          <w:tcPr>
            <w:tcW w:w="1701" w:type="dxa"/>
          </w:tcPr>
          <w:p w14:paraId="00046F9D" w14:textId="1F176935" w:rsidR="007F2D0E" w:rsidRPr="004E69A9" w:rsidRDefault="001304F7" w:rsidP="00C9181F">
            <w:pPr>
              <w:ind w:right="-514"/>
              <w:rPr>
                <w:sz w:val="18"/>
                <w:szCs w:val="18"/>
              </w:rPr>
            </w:pPr>
            <w:r>
              <w:rPr>
                <w:sz w:val="18"/>
                <w:szCs w:val="18"/>
              </w:rPr>
              <w:t>03/06/2021</w:t>
            </w:r>
          </w:p>
        </w:tc>
        <w:tc>
          <w:tcPr>
            <w:tcW w:w="1417" w:type="dxa"/>
          </w:tcPr>
          <w:p w14:paraId="453A9C7F" w14:textId="2C24CFF8" w:rsidR="007F2D0E" w:rsidRPr="004E69A9" w:rsidRDefault="001304F7" w:rsidP="00C9181F">
            <w:pPr>
              <w:ind w:right="-514"/>
              <w:rPr>
                <w:sz w:val="18"/>
                <w:szCs w:val="18"/>
              </w:rPr>
            </w:pPr>
            <w:r>
              <w:rPr>
                <w:sz w:val="18"/>
                <w:szCs w:val="18"/>
              </w:rPr>
              <w:t>2.1</w:t>
            </w:r>
          </w:p>
        </w:tc>
        <w:tc>
          <w:tcPr>
            <w:tcW w:w="2024" w:type="dxa"/>
          </w:tcPr>
          <w:p w14:paraId="74929265" w14:textId="585FBDE8" w:rsidR="007F2D0E" w:rsidRPr="004E69A9" w:rsidRDefault="001304F7" w:rsidP="00C9181F">
            <w:pPr>
              <w:ind w:right="-514"/>
              <w:rPr>
                <w:sz w:val="18"/>
                <w:szCs w:val="18"/>
              </w:rPr>
            </w:pPr>
            <w:r>
              <w:rPr>
                <w:sz w:val="18"/>
                <w:szCs w:val="18"/>
              </w:rPr>
              <w:t>04/06/2021</w:t>
            </w:r>
          </w:p>
        </w:tc>
      </w:tr>
      <w:tr w:rsidR="007F2D0E" w14:paraId="59505733" w14:textId="77777777" w:rsidTr="219E7FC9">
        <w:tc>
          <w:tcPr>
            <w:tcW w:w="3080" w:type="dxa"/>
          </w:tcPr>
          <w:p w14:paraId="4B8BC7F0" w14:textId="288EDE3B" w:rsidR="007F2D0E" w:rsidRPr="004E69A9" w:rsidRDefault="00991FE8" w:rsidP="00C9181F">
            <w:pPr>
              <w:ind w:right="-514"/>
              <w:rPr>
                <w:sz w:val="18"/>
                <w:szCs w:val="18"/>
              </w:rPr>
            </w:pPr>
            <w:r>
              <w:rPr>
                <w:sz w:val="18"/>
                <w:szCs w:val="18"/>
              </w:rPr>
              <w:t>Post Office Limited Board</w:t>
            </w:r>
          </w:p>
        </w:tc>
        <w:tc>
          <w:tcPr>
            <w:tcW w:w="1701" w:type="dxa"/>
          </w:tcPr>
          <w:p w14:paraId="4C8212F6" w14:textId="0846E599" w:rsidR="007F2D0E" w:rsidRPr="004E69A9" w:rsidRDefault="001B4B7F" w:rsidP="00C9181F">
            <w:pPr>
              <w:ind w:right="-514"/>
              <w:rPr>
                <w:sz w:val="18"/>
                <w:szCs w:val="18"/>
              </w:rPr>
            </w:pPr>
            <w:r>
              <w:rPr>
                <w:sz w:val="18"/>
                <w:szCs w:val="18"/>
              </w:rPr>
              <w:t>29/03/2022</w:t>
            </w:r>
          </w:p>
        </w:tc>
        <w:tc>
          <w:tcPr>
            <w:tcW w:w="1417" w:type="dxa"/>
          </w:tcPr>
          <w:p w14:paraId="351E39DD" w14:textId="09EA9823" w:rsidR="007F2D0E" w:rsidRPr="004E69A9" w:rsidRDefault="001B4B7F" w:rsidP="00C9181F">
            <w:pPr>
              <w:ind w:right="-514"/>
              <w:rPr>
                <w:sz w:val="18"/>
                <w:szCs w:val="18"/>
              </w:rPr>
            </w:pPr>
            <w:r>
              <w:rPr>
                <w:sz w:val="18"/>
                <w:szCs w:val="18"/>
              </w:rPr>
              <w:t>2.2</w:t>
            </w:r>
          </w:p>
        </w:tc>
        <w:tc>
          <w:tcPr>
            <w:tcW w:w="2024" w:type="dxa"/>
          </w:tcPr>
          <w:p w14:paraId="639EAC99" w14:textId="27FD3D57" w:rsidR="007F2D0E" w:rsidRPr="004E69A9" w:rsidRDefault="001B4B7F" w:rsidP="00C9181F">
            <w:pPr>
              <w:ind w:right="-514"/>
              <w:rPr>
                <w:sz w:val="18"/>
                <w:szCs w:val="18"/>
              </w:rPr>
            </w:pPr>
            <w:r>
              <w:rPr>
                <w:sz w:val="18"/>
                <w:szCs w:val="18"/>
              </w:rPr>
              <w:t>30/03/2022</w:t>
            </w:r>
          </w:p>
        </w:tc>
      </w:tr>
      <w:tr w:rsidR="001B4B7F" w14:paraId="18BBBB1B" w14:textId="77777777" w:rsidTr="219E7FC9">
        <w:tc>
          <w:tcPr>
            <w:tcW w:w="3080" w:type="dxa"/>
          </w:tcPr>
          <w:p w14:paraId="1DA7A190" w14:textId="0EDC059C" w:rsidR="001B4B7F" w:rsidRDefault="001B4B7F" w:rsidP="00C9181F">
            <w:pPr>
              <w:ind w:right="-514"/>
              <w:rPr>
                <w:sz w:val="18"/>
                <w:szCs w:val="18"/>
              </w:rPr>
            </w:pPr>
            <w:r>
              <w:rPr>
                <w:sz w:val="18"/>
                <w:szCs w:val="18"/>
              </w:rPr>
              <w:t>Post Office Limited Board</w:t>
            </w:r>
          </w:p>
        </w:tc>
        <w:tc>
          <w:tcPr>
            <w:tcW w:w="1701" w:type="dxa"/>
          </w:tcPr>
          <w:p w14:paraId="42EDD952" w14:textId="593D436F" w:rsidR="001B4B7F" w:rsidRDefault="001B4B7F" w:rsidP="00C9181F">
            <w:pPr>
              <w:ind w:right="-514"/>
              <w:rPr>
                <w:sz w:val="18"/>
                <w:szCs w:val="18"/>
              </w:rPr>
            </w:pPr>
            <w:r>
              <w:rPr>
                <w:sz w:val="18"/>
                <w:szCs w:val="18"/>
              </w:rPr>
              <w:t>12/07/2022</w:t>
            </w:r>
          </w:p>
        </w:tc>
        <w:tc>
          <w:tcPr>
            <w:tcW w:w="1417" w:type="dxa"/>
          </w:tcPr>
          <w:p w14:paraId="39B6E79F" w14:textId="4145F221" w:rsidR="001B4B7F" w:rsidRDefault="001B4B7F" w:rsidP="00C9181F">
            <w:pPr>
              <w:ind w:right="-514"/>
              <w:rPr>
                <w:sz w:val="18"/>
                <w:szCs w:val="18"/>
              </w:rPr>
            </w:pPr>
            <w:r>
              <w:rPr>
                <w:sz w:val="18"/>
                <w:szCs w:val="18"/>
              </w:rPr>
              <w:t>2.3</w:t>
            </w:r>
          </w:p>
        </w:tc>
        <w:tc>
          <w:tcPr>
            <w:tcW w:w="2024" w:type="dxa"/>
          </w:tcPr>
          <w:p w14:paraId="38E08785" w14:textId="6D779681" w:rsidR="001B4B7F" w:rsidRDefault="001B4B7F" w:rsidP="00C9181F">
            <w:pPr>
              <w:ind w:right="-514"/>
              <w:rPr>
                <w:sz w:val="18"/>
                <w:szCs w:val="18"/>
              </w:rPr>
            </w:pPr>
            <w:r>
              <w:rPr>
                <w:sz w:val="18"/>
                <w:szCs w:val="18"/>
              </w:rPr>
              <w:t>13/07/2022</w:t>
            </w:r>
          </w:p>
        </w:tc>
      </w:tr>
      <w:tr w:rsidR="004931E5" w14:paraId="646859DF" w14:textId="77777777" w:rsidTr="219E7FC9">
        <w:tc>
          <w:tcPr>
            <w:tcW w:w="3080" w:type="dxa"/>
          </w:tcPr>
          <w:p w14:paraId="620204B8" w14:textId="5A4C4EA8" w:rsidR="004931E5" w:rsidRPr="00645D0B" w:rsidRDefault="004931E5" w:rsidP="00C9181F">
            <w:pPr>
              <w:ind w:right="-514"/>
              <w:rPr>
                <w:sz w:val="18"/>
                <w:szCs w:val="18"/>
              </w:rPr>
            </w:pPr>
            <w:r w:rsidRPr="00645D0B">
              <w:rPr>
                <w:sz w:val="18"/>
                <w:szCs w:val="18"/>
              </w:rPr>
              <w:t>Post Office Limited Board</w:t>
            </w:r>
          </w:p>
        </w:tc>
        <w:tc>
          <w:tcPr>
            <w:tcW w:w="1701" w:type="dxa"/>
          </w:tcPr>
          <w:p w14:paraId="027C02A1" w14:textId="7C925821" w:rsidR="004931E5" w:rsidRPr="00645D0B" w:rsidRDefault="005747C5" w:rsidP="00C9181F">
            <w:pPr>
              <w:ind w:right="-514"/>
              <w:rPr>
                <w:sz w:val="18"/>
                <w:szCs w:val="18"/>
              </w:rPr>
            </w:pPr>
            <w:r w:rsidRPr="00645D0B">
              <w:rPr>
                <w:sz w:val="18"/>
                <w:szCs w:val="18"/>
              </w:rPr>
              <w:t>28/03/2023</w:t>
            </w:r>
          </w:p>
        </w:tc>
        <w:tc>
          <w:tcPr>
            <w:tcW w:w="1417" w:type="dxa"/>
          </w:tcPr>
          <w:p w14:paraId="6A7D90A9" w14:textId="7FA15D8D" w:rsidR="004931E5" w:rsidRPr="00645D0B" w:rsidRDefault="004931E5" w:rsidP="00C9181F">
            <w:pPr>
              <w:ind w:right="-514"/>
              <w:rPr>
                <w:sz w:val="18"/>
                <w:szCs w:val="18"/>
              </w:rPr>
            </w:pPr>
            <w:r w:rsidRPr="00645D0B">
              <w:rPr>
                <w:sz w:val="18"/>
                <w:szCs w:val="18"/>
              </w:rPr>
              <w:t>2.4</w:t>
            </w:r>
          </w:p>
        </w:tc>
        <w:tc>
          <w:tcPr>
            <w:tcW w:w="2024" w:type="dxa"/>
          </w:tcPr>
          <w:p w14:paraId="6E2389BF" w14:textId="54C02F28" w:rsidR="004931E5" w:rsidRPr="00645D0B" w:rsidRDefault="005747C5" w:rsidP="00C9181F">
            <w:pPr>
              <w:ind w:right="-514"/>
              <w:rPr>
                <w:sz w:val="18"/>
                <w:szCs w:val="18"/>
              </w:rPr>
            </w:pPr>
            <w:r w:rsidRPr="00645D0B">
              <w:rPr>
                <w:sz w:val="18"/>
                <w:szCs w:val="18"/>
              </w:rPr>
              <w:t>29/03/2023</w:t>
            </w:r>
          </w:p>
        </w:tc>
      </w:tr>
      <w:tr w:rsidR="00AB6B45" w14:paraId="5CE5CE83" w14:textId="77777777" w:rsidTr="219E7FC9">
        <w:tc>
          <w:tcPr>
            <w:tcW w:w="3080" w:type="dxa"/>
          </w:tcPr>
          <w:p w14:paraId="77FD5333" w14:textId="50BCFA5F" w:rsidR="00AB6B45" w:rsidRPr="00645D0B" w:rsidRDefault="00AB6B45" w:rsidP="00C9181F">
            <w:pPr>
              <w:ind w:right="-514"/>
              <w:rPr>
                <w:sz w:val="18"/>
                <w:szCs w:val="18"/>
              </w:rPr>
            </w:pPr>
            <w:r w:rsidRPr="00645D0B">
              <w:rPr>
                <w:sz w:val="18"/>
                <w:szCs w:val="18"/>
              </w:rPr>
              <w:t>Post Office Limited Board</w:t>
            </w:r>
          </w:p>
        </w:tc>
        <w:tc>
          <w:tcPr>
            <w:tcW w:w="1701" w:type="dxa"/>
          </w:tcPr>
          <w:p w14:paraId="4C6DB2C7" w14:textId="6C98891C" w:rsidR="00AB6B45" w:rsidRPr="00645D0B" w:rsidRDefault="00645D0B" w:rsidP="00C9181F">
            <w:pPr>
              <w:ind w:right="-514"/>
              <w:rPr>
                <w:sz w:val="18"/>
                <w:szCs w:val="18"/>
              </w:rPr>
            </w:pPr>
            <w:r w:rsidRPr="00645D0B">
              <w:rPr>
                <w:sz w:val="18"/>
                <w:szCs w:val="18"/>
              </w:rPr>
              <w:t>26/09/2023</w:t>
            </w:r>
          </w:p>
        </w:tc>
        <w:tc>
          <w:tcPr>
            <w:tcW w:w="1417" w:type="dxa"/>
          </w:tcPr>
          <w:p w14:paraId="277061D3" w14:textId="473B295A" w:rsidR="00AB6B45" w:rsidRPr="00645D0B" w:rsidRDefault="00AB6B45" w:rsidP="00C9181F">
            <w:pPr>
              <w:ind w:right="-514"/>
              <w:rPr>
                <w:sz w:val="18"/>
                <w:szCs w:val="18"/>
              </w:rPr>
            </w:pPr>
            <w:r w:rsidRPr="00645D0B">
              <w:rPr>
                <w:sz w:val="18"/>
                <w:szCs w:val="18"/>
              </w:rPr>
              <w:t>2.5</w:t>
            </w:r>
          </w:p>
        </w:tc>
        <w:tc>
          <w:tcPr>
            <w:tcW w:w="2024" w:type="dxa"/>
          </w:tcPr>
          <w:p w14:paraId="1D6593DA" w14:textId="4F373EB9" w:rsidR="00AB6B45" w:rsidRPr="00645D0B" w:rsidRDefault="00645D0B" w:rsidP="00AB6B45">
            <w:pPr>
              <w:ind w:right="-514"/>
              <w:rPr>
                <w:sz w:val="18"/>
                <w:szCs w:val="18"/>
              </w:rPr>
            </w:pPr>
            <w:r w:rsidRPr="00645D0B">
              <w:rPr>
                <w:sz w:val="18"/>
                <w:szCs w:val="18"/>
              </w:rPr>
              <w:t>26/09/2023</w:t>
            </w:r>
          </w:p>
        </w:tc>
      </w:tr>
      <w:tr w:rsidR="006770E3" w14:paraId="4F479318" w14:textId="77777777" w:rsidTr="219E7FC9">
        <w:tc>
          <w:tcPr>
            <w:tcW w:w="3080" w:type="dxa"/>
          </w:tcPr>
          <w:p w14:paraId="716ECB34" w14:textId="168643CB" w:rsidR="006770E3" w:rsidRPr="00645D0B" w:rsidRDefault="006770E3" w:rsidP="00C9181F">
            <w:pPr>
              <w:ind w:right="-514"/>
              <w:rPr>
                <w:sz w:val="18"/>
                <w:szCs w:val="18"/>
              </w:rPr>
            </w:pPr>
            <w:r w:rsidRPr="00645D0B">
              <w:rPr>
                <w:sz w:val="18"/>
                <w:szCs w:val="18"/>
              </w:rPr>
              <w:t>Post Office Limited Board</w:t>
            </w:r>
          </w:p>
        </w:tc>
        <w:tc>
          <w:tcPr>
            <w:tcW w:w="1701" w:type="dxa"/>
          </w:tcPr>
          <w:p w14:paraId="4276884B" w14:textId="76D77970" w:rsidR="006770E3" w:rsidRPr="00645D0B" w:rsidRDefault="006770E3" w:rsidP="00C9181F">
            <w:pPr>
              <w:ind w:right="-514"/>
              <w:rPr>
                <w:sz w:val="18"/>
                <w:szCs w:val="18"/>
              </w:rPr>
            </w:pPr>
            <w:r>
              <w:rPr>
                <w:sz w:val="18"/>
                <w:szCs w:val="18"/>
              </w:rPr>
              <w:t>28/11/2023</w:t>
            </w:r>
          </w:p>
        </w:tc>
        <w:tc>
          <w:tcPr>
            <w:tcW w:w="1417" w:type="dxa"/>
          </w:tcPr>
          <w:p w14:paraId="58578F91" w14:textId="32FD51DC" w:rsidR="006770E3" w:rsidRPr="00645D0B" w:rsidRDefault="006770E3" w:rsidP="00C9181F">
            <w:pPr>
              <w:ind w:right="-514"/>
              <w:rPr>
                <w:sz w:val="18"/>
                <w:szCs w:val="18"/>
              </w:rPr>
            </w:pPr>
            <w:r>
              <w:rPr>
                <w:sz w:val="18"/>
                <w:szCs w:val="18"/>
              </w:rPr>
              <w:t>2.6</w:t>
            </w:r>
          </w:p>
        </w:tc>
        <w:tc>
          <w:tcPr>
            <w:tcW w:w="2024" w:type="dxa"/>
          </w:tcPr>
          <w:p w14:paraId="322BA437" w14:textId="3FDE6DFC" w:rsidR="006770E3" w:rsidRPr="00645D0B" w:rsidRDefault="006770E3" w:rsidP="00AB6B45">
            <w:pPr>
              <w:ind w:right="-514"/>
              <w:rPr>
                <w:sz w:val="18"/>
                <w:szCs w:val="18"/>
              </w:rPr>
            </w:pPr>
            <w:r>
              <w:rPr>
                <w:sz w:val="18"/>
                <w:szCs w:val="18"/>
              </w:rPr>
              <w:t>29/11/2023</w:t>
            </w:r>
          </w:p>
        </w:tc>
      </w:tr>
      <w:tr w:rsidR="00187F55" w14:paraId="4B854198" w14:textId="77777777" w:rsidTr="219E7FC9">
        <w:tc>
          <w:tcPr>
            <w:tcW w:w="3080" w:type="dxa"/>
          </w:tcPr>
          <w:p w14:paraId="56178EBD" w14:textId="422FBEC9" w:rsidR="00187F55" w:rsidRPr="00645D0B" w:rsidRDefault="00187F55" w:rsidP="00187F55">
            <w:pPr>
              <w:ind w:right="-514"/>
              <w:rPr>
                <w:sz w:val="18"/>
                <w:szCs w:val="18"/>
              </w:rPr>
            </w:pPr>
            <w:r w:rsidRPr="00645D0B">
              <w:rPr>
                <w:sz w:val="18"/>
                <w:szCs w:val="18"/>
              </w:rPr>
              <w:t>Post Office Limited Board</w:t>
            </w:r>
          </w:p>
        </w:tc>
        <w:tc>
          <w:tcPr>
            <w:tcW w:w="1701" w:type="dxa"/>
          </w:tcPr>
          <w:p w14:paraId="60CBBA2E" w14:textId="67215F80" w:rsidR="00187F55" w:rsidRDefault="00456EE6" w:rsidP="00187F55">
            <w:pPr>
              <w:ind w:right="-514"/>
              <w:rPr>
                <w:sz w:val="18"/>
                <w:szCs w:val="18"/>
              </w:rPr>
            </w:pPr>
            <w:r>
              <w:rPr>
                <w:sz w:val="18"/>
                <w:szCs w:val="18"/>
              </w:rPr>
              <w:t>25/03/2024</w:t>
            </w:r>
          </w:p>
        </w:tc>
        <w:tc>
          <w:tcPr>
            <w:tcW w:w="1417" w:type="dxa"/>
          </w:tcPr>
          <w:p w14:paraId="02B26888" w14:textId="0EB40D65" w:rsidR="00187F55" w:rsidRDefault="00456EE6" w:rsidP="00187F55">
            <w:pPr>
              <w:ind w:right="-514"/>
              <w:rPr>
                <w:sz w:val="18"/>
                <w:szCs w:val="18"/>
              </w:rPr>
            </w:pPr>
            <w:r>
              <w:rPr>
                <w:sz w:val="18"/>
                <w:szCs w:val="18"/>
              </w:rPr>
              <w:t>2.7</w:t>
            </w:r>
          </w:p>
        </w:tc>
        <w:tc>
          <w:tcPr>
            <w:tcW w:w="2024" w:type="dxa"/>
          </w:tcPr>
          <w:p w14:paraId="1160D983" w14:textId="7BF4143E" w:rsidR="00187F55" w:rsidRDefault="00456EE6" w:rsidP="00187F55">
            <w:pPr>
              <w:ind w:right="-514"/>
              <w:rPr>
                <w:sz w:val="18"/>
                <w:szCs w:val="18"/>
              </w:rPr>
            </w:pPr>
            <w:r>
              <w:rPr>
                <w:sz w:val="18"/>
                <w:szCs w:val="18"/>
              </w:rPr>
              <w:t xml:space="preserve">26/03/2024 </w:t>
            </w:r>
          </w:p>
        </w:tc>
      </w:tr>
      <w:tr w:rsidR="00A361D6" w14:paraId="1E13A292" w14:textId="77777777" w:rsidTr="219E7FC9">
        <w:tc>
          <w:tcPr>
            <w:tcW w:w="3080" w:type="dxa"/>
          </w:tcPr>
          <w:p w14:paraId="34BAC721" w14:textId="2B464416" w:rsidR="00A361D6" w:rsidRPr="00645D0B" w:rsidRDefault="00A361D6" w:rsidP="00187F55">
            <w:pPr>
              <w:ind w:right="-514"/>
              <w:rPr>
                <w:sz w:val="18"/>
                <w:szCs w:val="18"/>
              </w:rPr>
            </w:pPr>
            <w:r w:rsidRPr="00645D0B">
              <w:rPr>
                <w:sz w:val="18"/>
                <w:szCs w:val="18"/>
              </w:rPr>
              <w:t>Post Office Limited Board</w:t>
            </w:r>
          </w:p>
        </w:tc>
        <w:tc>
          <w:tcPr>
            <w:tcW w:w="1701" w:type="dxa"/>
          </w:tcPr>
          <w:p w14:paraId="7C761E9E" w14:textId="3EECC910" w:rsidR="00A361D6" w:rsidRDefault="00207914" w:rsidP="00187F55">
            <w:pPr>
              <w:ind w:right="-514"/>
              <w:rPr>
                <w:sz w:val="18"/>
                <w:szCs w:val="18"/>
              </w:rPr>
            </w:pPr>
            <w:r>
              <w:rPr>
                <w:sz w:val="18"/>
                <w:szCs w:val="18"/>
              </w:rPr>
              <w:t>03/06/2025</w:t>
            </w:r>
          </w:p>
        </w:tc>
        <w:tc>
          <w:tcPr>
            <w:tcW w:w="1417" w:type="dxa"/>
          </w:tcPr>
          <w:p w14:paraId="5A81873C" w14:textId="75679BE7" w:rsidR="00A361D6" w:rsidRDefault="00207914" w:rsidP="00187F55">
            <w:pPr>
              <w:ind w:right="-514"/>
              <w:rPr>
                <w:sz w:val="18"/>
                <w:szCs w:val="18"/>
              </w:rPr>
            </w:pPr>
            <w:r>
              <w:rPr>
                <w:sz w:val="18"/>
                <w:szCs w:val="18"/>
              </w:rPr>
              <w:t>2.8</w:t>
            </w:r>
          </w:p>
        </w:tc>
        <w:tc>
          <w:tcPr>
            <w:tcW w:w="2024" w:type="dxa"/>
          </w:tcPr>
          <w:p w14:paraId="362E021B" w14:textId="700A78BF" w:rsidR="00A361D6" w:rsidRDefault="00207914" w:rsidP="00187F55">
            <w:pPr>
              <w:ind w:right="-514"/>
              <w:rPr>
                <w:sz w:val="18"/>
                <w:szCs w:val="18"/>
              </w:rPr>
            </w:pPr>
            <w:r>
              <w:rPr>
                <w:sz w:val="18"/>
                <w:szCs w:val="18"/>
              </w:rPr>
              <w:t>04/06/2025</w:t>
            </w:r>
          </w:p>
        </w:tc>
      </w:tr>
      <w:tr w:rsidR="009A5E34" w14:paraId="46B6585B" w14:textId="77777777" w:rsidTr="219E7FC9">
        <w:tc>
          <w:tcPr>
            <w:tcW w:w="3080" w:type="dxa"/>
          </w:tcPr>
          <w:p w14:paraId="6613139C" w14:textId="2C6C95A8" w:rsidR="009A5E34" w:rsidRPr="00645D0B" w:rsidRDefault="009A5E34" w:rsidP="009A5E34">
            <w:pPr>
              <w:ind w:right="-514"/>
              <w:rPr>
                <w:sz w:val="18"/>
                <w:szCs w:val="18"/>
              </w:rPr>
            </w:pPr>
            <w:r w:rsidRPr="00645D0B">
              <w:rPr>
                <w:sz w:val="18"/>
                <w:szCs w:val="18"/>
              </w:rPr>
              <w:t>Post Office Limited Board</w:t>
            </w:r>
          </w:p>
        </w:tc>
        <w:tc>
          <w:tcPr>
            <w:tcW w:w="1701" w:type="dxa"/>
          </w:tcPr>
          <w:p w14:paraId="04E42C4E" w14:textId="014846BD" w:rsidR="009A5E34" w:rsidRDefault="009A5E34" w:rsidP="009A5E34">
            <w:pPr>
              <w:ind w:right="-514"/>
              <w:rPr>
                <w:sz w:val="18"/>
                <w:szCs w:val="18"/>
              </w:rPr>
            </w:pPr>
            <w:r>
              <w:rPr>
                <w:sz w:val="18"/>
                <w:szCs w:val="18"/>
              </w:rPr>
              <w:t>08/07/2025</w:t>
            </w:r>
          </w:p>
        </w:tc>
        <w:tc>
          <w:tcPr>
            <w:tcW w:w="1417" w:type="dxa"/>
          </w:tcPr>
          <w:p w14:paraId="40845DA4" w14:textId="3DFFAD2F" w:rsidR="009A5E34" w:rsidRDefault="009A5E34" w:rsidP="009A5E34">
            <w:pPr>
              <w:ind w:right="-514"/>
              <w:rPr>
                <w:sz w:val="18"/>
                <w:szCs w:val="18"/>
              </w:rPr>
            </w:pPr>
            <w:r>
              <w:rPr>
                <w:sz w:val="18"/>
                <w:szCs w:val="18"/>
              </w:rPr>
              <w:t>2.9</w:t>
            </w:r>
          </w:p>
        </w:tc>
        <w:tc>
          <w:tcPr>
            <w:tcW w:w="2024" w:type="dxa"/>
          </w:tcPr>
          <w:p w14:paraId="310923FC" w14:textId="4AB8C3F3" w:rsidR="009A5E34" w:rsidRDefault="009A5E34" w:rsidP="009A5E34">
            <w:pPr>
              <w:ind w:right="-514"/>
              <w:rPr>
                <w:sz w:val="18"/>
                <w:szCs w:val="18"/>
              </w:rPr>
            </w:pPr>
            <w:r>
              <w:rPr>
                <w:sz w:val="18"/>
                <w:szCs w:val="18"/>
              </w:rPr>
              <w:t>09/07/2025</w:t>
            </w:r>
          </w:p>
        </w:tc>
      </w:tr>
      <w:tr w:rsidR="219E7FC9" w14:paraId="18D5C54A" w14:textId="77777777" w:rsidTr="219E7FC9">
        <w:trPr>
          <w:trHeight w:val="300"/>
        </w:trPr>
        <w:tc>
          <w:tcPr>
            <w:tcW w:w="3080" w:type="dxa"/>
          </w:tcPr>
          <w:p w14:paraId="0B48EAD5" w14:textId="1748BB35" w:rsidR="30DAF896" w:rsidRDefault="30DAF896" w:rsidP="219E7FC9">
            <w:pPr>
              <w:rPr>
                <w:sz w:val="18"/>
                <w:szCs w:val="18"/>
              </w:rPr>
            </w:pPr>
            <w:r w:rsidRPr="219E7FC9">
              <w:rPr>
                <w:sz w:val="18"/>
                <w:szCs w:val="18"/>
              </w:rPr>
              <w:t>Post Office Limited Board</w:t>
            </w:r>
          </w:p>
        </w:tc>
        <w:tc>
          <w:tcPr>
            <w:tcW w:w="1701" w:type="dxa"/>
          </w:tcPr>
          <w:p w14:paraId="7A9427C5" w14:textId="3365950A" w:rsidR="30DAF896" w:rsidRDefault="30DAF896" w:rsidP="219E7FC9">
            <w:pPr>
              <w:rPr>
                <w:sz w:val="18"/>
                <w:szCs w:val="18"/>
              </w:rPr>
            </w:pPr>
            <w:r w:rsidRPr="219E7FC9">
              <w:rPr>
                <w:sz w:val="18"/>
                <w:szCs w:val="18"/>
              </w:rPr>
              <w:t>01/07/2026</w:t>
            </w:r>
          </w:p>
        </w:tc>
        <w:tc>
          <w:tcPr>
            <w:tcW w:w="1417" w:type="dxa"/>
          </w:tcPr>
          <w:p w14:paraId="5597CE1B" w14:textId="0C6710B8" w:rsidR="30DAF896" w:rsidRDefault="30DAF896" w:rsidP="219E7FC9">
            <w:pPr>
              <w:rPr>
                <w:sz w:val="18"/>
                <w:szCs w:val="18"/>
              </w:rPr>
            </w:pPr>
            <w:r w:rsidRPr="219E7FC9">
              <w:rPr>
                <w:sz w:val="18"/>
                <w:szCs w:val="18"/>
              </w:rPr>
              <w:t>3.0</w:t>
            </w:r>
          </w:p>
        </w:tc>
        <w:tc>
          <w:tcPr>
            <w:tcW w:w="2024" w:type="dxa"/>
          </w:tcPr>
          <w:p w14:paraId="66428BBB" w14:textId="767E6CBA" w:rsidR="30DAF896" w:rsidRDefault="30DAF896" w:rsidP="219E7FC9">
            <w:pPr>
              <w:rPr>
                <w:sz w:val="18"/>
                <w:szCs w:val="18"/>
              </w:rPr>
            </w:pPr>
            <w:r w:rsidRPr="219E7FC9">
              <w:rPr>
                <w:sz w:val="18"/>
                <w:szCs w:val="18"/>
              </w:rPr>
              <w:t>01/07/2026</w:t>
            </w:r>
          </w:p>
        </w:tc>
      </w:tr>
    </w:tbl>
    <w:p w14:paraId="72486283" w14:textId="11DAC658" w:rsidR="001D45E1" w:rsidRDefault="001D45E1" w:rsidP="000D493D">
      <w:pPr>
        <w:pStyle w:val="ListParagraph"/>
        <w:ind w:right="-514"/>
      </w:pPr>
    </w:p>
    <w:p w14:paraId="10F7CA7B" w14:textId="77777777" w:rsidR="001D45E1" w:rsidRDefault="001D45E1">
      <w:pPr>
        <w:spacing w:after="160" w:line="259" w:lineRule="auto"/>
      </w:pPr>
      <w:r>
        <w:br w:type="page"/>
      </w:r>
    </w:p>
    <w:p w14:paraId="180349BF" w14:textId="149A485E" w:rsidR="009B100C" w:rsidRPr="00BF1FE8" w:rsidRDefault="0060790E" w:rsidP="009D5ADB">
      <w:pPr>
        <w:pStyle w:val="ListParagraph"/>
        <w:numPr>
          <w:ilvl w:val="0"/>
          <w:numId w:val="2"/>
        </w:numPr>
        <w:ind w:right="-514" w:hanging="731"/>
        <w:rPr>
          <w:b/>
        </w:rPr>
      </w:pPr>
      <w:r w:rsidRPr="00BF1FE8">
        <w:rPr>
          <w:b/>
        </w:rPr>
        <w:lastRenderedPageBreak/>
        <w:t>Appendices</w:t>
      </w:r>
    </w:p>
    <w:p w14:paraId="6A1FAA13" w14:textId="77777777" w:rsidR="0060790E" w:rsidRPr="0060790E" w:rsidRDefault="0060790E" w:rsidP="001D45E1">
      <w:pPr>
        <w:ind w:left="709" w:right="-514"/>
        <w:rPr>
          <w:b/>
          <w:i/>
        </w:rPr>
      </w:pPr>
    </w:p>
    <w:p w14:paraId="204A4BE8" w14:textId="77777777" w:rsidR="0060790E" w:rsidRDefault="0060790E" w:rsidP="009D5ADB">
      <w:pPr>
        <w:spacing w:line="240" w:lineRule="auto"/>
        <w:ind w:left="720" w:right="-514"/>
        <w:rPr>
          <w:b/>
          <w:i/>
        </w:rPr>
      </w:pPr>
      <w:r w:rsidRPr="0060790E">
        <w:rPr>
          <w:b/>
          <w:i/>
        </w:rPr>
        <w:t xml:space="preserve">Spend Approval Limits </w:t>
      </w:r>
    </w:p>
    <w:p w14:paraId="53C06DA6" w14:textId="54079718" w:rsidR="007619BE" w:rsidRPr="007619BE" w:rsidRDefault="007619BE" w:rsidP="009D5ADB">
      <w:pPr>
        <w:spacing w:line="240" w:lineRule="auto"/>
        <w:ind w:left="720" w:right="90"/>
        <w:jc w:val="both"/>
        <w:textAlignment w:val="baseline"/>
        <w:rPr>
          <w:rFonts w:ascii="Segoe UI" w:eastAsia="Times New Roman" w:hAnsi="Segoe UI" w:cs="Segoe UI"/>
          <w:sz w:val="18"/>
          <w:szCs w:val="18"/>
          <w:lang w:eastAsia="en-GB"/>
        </w:rPr>
      </w:pPr>
      <w:r w:rsidRPr="00E40FB8">
        <w:rPr>
          <w:rFonts w:eastAsia="Times New Roman" w:cs="Segoe UI"/>
          <w:lang w:eastAsia="en-GB"/>
        </w:rPr>
        <w:t>The Board has delegated to the Group Chief Executive Officer (CEO) budgeted</w:t>
      </w:r>
      <w:r w:rsidR="00E22F32">
        <w:rPr>
          <w:rStyle w:val="FootnoteReference"/>
          <w:rFonts w:eastAsia="Times New Roman" w:cs="Segoe UI"/>
          <w:lang w:eastAsia="en-GB"/>
        </w:rPr>
        <w:footnoteReference w:id="32"/>
      </w:r>
      <w:r w:rsidRPr="00E40FB8">
        <w:rPr>
          <w:rFonts w:eastAsia="Times New Roman" w:cs="Segoe UI"/>
          <w:lang w:eastAsia="en-GB"/>
        </w:rPr>
        <w:t xml:space="preserve"> spend approval of up to £15,000,000</w:t>
      </w:r>
      <w:r w:rsidR="00E22F32">
        <w:rPr>
          <w:rStyle w:val="FootnoteReference"/>
          <w:rFonts w:eastAsia="Times New Roman" w:cs="Segoe UI"/>
          <w:lang w:eastAsia="en-GB"/>
        </w:rPr>
        <w:footnoteReference w:id="33"/>
      </w:r>
      <w:r w:rsidRPr="00E40FB8">
        <w:rPr>
          <w:rFonts w:eastAsia="Times New Roman" w:cs="Segoe UI"/>
          <w:lang w:eastAsia="en-GB"/>
        </w:rPr>
        <w:t xml:space="preserve"> and the Group CEO recommends to the Board the following standard budgeted spend approval limits (subject to applicable internal policies and processes): </w:t>
      </w:r>
      <w:r w:rsidRPr="007619BE">
        <w:rPr>
          <w:rFonts w:eastAsia="Times New Roman" w:cs="Segoe UI"/>
          <w:lang w:eastAsia="en-GB"/>
        </w:rPr>
        <w:t> </w:t>
      </w:r>
    </w:p>
    <w:p w14:paraId="36508B5B" w14:textId="77777777" w:rsidR="007619BE" w:rsidRPr="007619BE" w:rsidRDefault="007619BE" w:rsidP="007619BE">
      <w:pPr>
        <w:ind w:left="709" w:right="-514"/>
        <w:jc w:val="both"/>
        <w:rPr>
          <w:b/>
        </w:rPr>
      </w:pPr>
    </w:p>
    <w:tbl>
      <w:tblPr>
        <w:tblW w:w="8222"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2"/>
        <w:gridCol w:w="1550"/>
      </w:tblGrid>
      <w:tr w:rsidR="007619BE" w:rsidRPr="007619BE" w14:paraId="4327F63E" w14:textId="77777777" w:rsidTr="001D45E1">
        <w:trPr>
          <w:trHeight w:val="300"/>
        </w:trPr>
        <w:tc>
          <w:tcPr>
            <w:tcW w:w="6672" w:type="dxa"/>
            <w:tcBorders>
              <w:top w:val="single" w:sz="6" w:space="0" w:color="auto"/>
              <w:left w:val="single" w:sz="6" w:space="0" w:color="auto"/>
              <w:bottom w:val="single" w:sz="6" w:space="0" w:color="auto"/>
              <w:right w:val="single" w:sz="6" w:space="0" w:color="auto"/>
            </w:tcBorders>
            <w:vAlign w:val="center"/>
            <w:hideMark/>
          </w:tcPr>
          <w:p w14:paraId="4AFEFC0C" w14:textId="77777777" w:rsidR="007619BE" w:rsidRPr="00E40FB8" w:rsidRDefault="007619BE" w:rsidP="007619BE">
            <w:pPr>
              <w:spacing w:line="240" w:lineRule="auto"/>
              <w:jc w:val="center"/>
              <w:textAlignment w:val="baseline"/>
              <w:rPr>
                <w:rFonts w:ascii="Segoe UI" w:eastAsia="Times New Roman" w:hAnsi="Segoe UI" w:cs="Segoe UI"/>
                <w:sz w:val="18"/>
                <w:szCs w:val="18"/>
                <w:lang w:eastAsia="en-GB"/>
              </w:rPr>
            </w:pPr>
            <w:r w:rsidRPr="00E40FB8">
              <w:rPr>
                <w:rFonts w:eastAsia="Times New Roman" w:cs="Segoe UI"/>
                <w:lang w:eastAsia="en-GB"/>
              </w:rPr>
              <w:t>Job Title  </w:t>
            </w:r>
          </w:p>
        </w:tc>
        <w:tc>
          <w:tcPr>
            <w:tcW w:w="1550" w:type="dxa"/>
            <w:tcBorders>
              <w:top w:val="single" w:sz="6" w:space="0" w:color="auto"/>
              <w:left w:val="single" w:sz="6" w:space="0" w:color="auto"/>
              <w:bottom w:val="single" w:sz="6" w:space="0" w:color="auto"/>
              <w:right w:val="single" w:sz="6" w:space="0" w:color="auto"/>
            </w:tcBorders>
            <w:vAlign w:val="center"/>
            <w:hideMark/>
          </w:tcPr>
          <w:p w14:paraId="331837F8" w14:textId="77777777" w:rsidR="007619BE" w:rsidRPr="00E40FB8" w:rsidRDefault="007619BE" w:rsidP="007619BE">
            <w:pPr>
              <w:spacing w:line="240" w:lineRule="auto"/>
              <w:jc w:val="center"/>
              <w:textAlignment w:val="baseline"/>
              <w:rPr>
                <w:rFonts w:ascii="Segoe UI" w:eastAsia="Times New Roman" w:hAnsi="Segoe UI" w:cs="Segoe UI"/>
                <w:sz w:val="18"/>
                <w:szCs w:val="18"/>
                <w:lang w:eastAsia="en-GB"/>
              </w:rPr>
            </w:pPr>
            <w:r w:rsidRPr="00E40FB8">
              <w:rPr>
                <w:rFonts w:eastAsia="Times New Roman" w:cs="Segoe UI"/>
                <w:lang w:eastAsia="en-GB"/>
              </w:rPr>
              <w:t>Budgeted Spend Approval Limit  </w:t>
            </w:r>
          </w:p>
        </w:tc>
      </w:tr>
      <w:tr w:rsidR="007619BE" w:rsidRPr="007619BE" w14:paraId="398896D3" w14:textId="77777777" w:rsidTr="001D45E1">
        <w:trPr>
          <w:trHeight w:val="300"/>
        </w:trPr>
        <w:tc>
          <w:tcPr>
            <w:tcW w:w="6672" w:type="dxa"/>
            <w:tcBorders>
              <w:top w:val="single" w:sz="6" w:space="0" w:color="auto"/>
              <w:left w:val="single" w:sz="6" w:space="0" w:color="auto"/>
              <w:bottom w:val="single" w:sz="6" w:space="0" w:color="auto"/>
              <w:right w:val="single" w:sz="6" w:space="0" w:color="auto"/>
            </w:tcBorders>
            <w:hideMark/>
          </w:tcPr>
          <w:p w14:paraId="6F1E777F" w14:textId="77777777" w:rsidR="007619BE" w:rsidRPr="00E22F32" w:rsidRDefault="007619BE" w:rsidP="00823BE7">
            <w:pPr>
              <w:spacing w:line="240" w:lineRule="auto"/>
              <w:ind w:right="-525"/>
              <w:jc w:val="both"/>
              <w:textAlignment w:val="baseline"/>
              <w:rPr>
                <w:rFonts w:ascii="Segoe UI" w:eastAsia="Times New Roman" w:hAnsi="Segoe UI" w:cs="Segoe UI"/>
                <w:sz w:val="20"/>
                <w:szCs w:val="20"/>
                <w:lang w:eastAsia="en-GB"/>
              </w:rPr>
            </w:pPr>
            <w:r w:rsidRPr="00E22F32">
              <w:rPr>
                <w:rFonts w:eastAsia="Times New Roman" w:cs="Segoe UI"/>
                <w:sz w:val="20"/>
                <w:szCs w:val="20"/>
                <w:lang w:eastAsia="en-GB"/>
              </w:rPr>
              <w:t>Group Chief Finance Officer (CFO)  </w:t>
            </w:r>
          </w:p>
        </w:tc>
        <w:tc>
          <w:tcPr>
            <w:tcW w:w="1550" w:type="dxa"/>
            <w:tcBorders>
              <w:top w:val="single" w:sz="6" w:space="0" w:color="auto"/>
              <w:left w:val="single" w:sz="6" w:space="0" w:color="auto"/>
              <w:bottom w:val="single" w:sz="6" w:space="0" w:color="auto"/>
              <w:right w:val="single" w:sz="6" w:space="0" w:color="auto"/>
            </w:tcBorders>
            <w:hideMark/>
          </w:tcPr>
          <w:p w14:paraId="7EDB2E35" w14:textId="77777777" w:rsidR="007619BE" w:rsidRPr="00E22F32" w:rsidRDefault="007619BE" w:rsidP="007619BE">
            <w:pPr>
              <w:spacing w:line="240" w:lineRule="auto"/>
              <w:ind w:right="-525"/>
              <w:textAlignment w:val="baseline"/>
              <w:rPr>
                <w:rFonts w:ascii="Segoe UI" w:eastAsia="Times New Roman" w:hAnsi="Segoe UI" w:cs="Segoe UI"/>
                <w:sz w:val="20"/>
                <w:szCs w:val="20"/>
                <w:lang w:eastAsia="en-GB"/>
              </w:rPr>
            </w:pPr>
            <w:r w:rsidRPr="00E22F32">
              <w:rPr>
                <w:rFonts w:eastAsia="Times New Roman" w:cs="Segoe UI"/>
                <w:sz w:val="20"/>
                <w:szCs w:val="20"/>
                <w:lang w:eastAsia="en-GB"/>
              </w:rPr>
              <w:t>£15,000,000  </w:t>
            </w:r>
          </w:p>
        </w:tc>
      </w:tr>
      <w:tr w:rsidR="007619BE" w:rsidRPr="007619BE" w14:paraId="4C33C5C3" w14:textId="77777777" w:rsidTr="001D45E1">
        <w:trPr>
          <w:trHeight w:val="300"/>
        </w:trPr>
        <w:tc>
          <w:tcPr>
            <w:tcW w:w="6672" w:type="dxa"/>
            <w:tcBorders>
              <w:top w:val="single" w:sz="6" w:space="0" w:color="auto"/>
              <w:left w:val="single" w:sz="6" w:space="0" w:color="auto"/>
              <w:bottom w:val="single" w:sz="6" w:space="0" w:color="auto"/>
              <w:right w:val="single" w:sz="6" w:space="0" w:color="auto"/>
            </w:tcBorders>
            <w:hideMark/>
          </w:tcPr>
          <w:p w14:paraId="480EE1F6" w14:textId="77777777" w:rsidR="007619BE" w:rsidRPr="00E22F32" w:rsidRDefault="007619BE" w:rsidP="00823BE7">
            <w:pPr>
              <w:spacing w:line="240" w:lineRule="auto"/>
              <w:ind w:right="-525"/>
              <w:jc w:val="both"/>
              <w:textAlignment w:val="baseline"/>
              <w:rPr>
                <w:rFonts w:ascii="Segoe UI" w:eastAsia="Times New Roman" w:hAnsi="Segoe UI" w:cs="Segoe UI"/>
                <w:sz w:val="20"/>
                <w:szCs w:val="20"/>
                <w:lang w:eastAsia="en-GB"/>
              </w:rPr>
            </w:pPr>
            <w:r w:rsidRPr="00E22F32">
              <w:rPr>
                <w:rFonts w:eastAsia="Times New Roman" w:cs="Segoe UI"/>
                <w:sz w:val="20"/>
                <w:szCs w:val="20"/>
                <w:lang w:eastAsia="en-GB"/>
              </w:rPr>
              <w:t>Member of the Executive </w:t>
            </w:r>
          </w:p>
        </w:tc>
        <w:tc>
          <w:tcPr>
            <w:tcW w:w="1550" w:type="dxa"/>
            <w:tcBorders>
              <w:top w:val="single" w:sz="6" w:space="0" w:color="auto"/>
              <w:left w:val="single" w:sz="6" w:space="0" w:color="auto"/>
              <w:bottom w:val="single" w:sz="6" w:space="0" w:color="auto"/>
              <w:right w:val="single" w:sz="6" w:space="0" w:color="auto"/>
            </w:tcBorders>
            <w:hideMark/>
          </w:tcPr>
          <w:p w14:paraId="7DFF74E1" w14:textId="77777777" w:rsidR="007619BE" w:rsidRPr="00E22F32" w:rsidRDefault="007619BE" w:rsidP="007619BE">
            <w:pPr>
              <w:spacing w:line="240" w:lineRule="auto"/>
              <w:ind w:right="-525"/>
              <w:textAlignment w:val="baseline"/>
              <w:rPr>
                <w:rFonts w:ascii="Segoe UI" w:eastAsia="Times New Roman" w:hAnsi="Segoe UI" w:cs="Segoe UI"/>
                <w:sz w:val="20"/>
                <w:szCs w:val="20"/>
                <w:lang w:eastAsia="en-GB"/>
              </w:rPr>
            </w:pPr>
            <w:r w:rsidRPr="00E22F32">
              <w:rPr>
                <w:rFonts w:eastAsia="Times New Roman" w:cs="Segoe UI"/>
                <w:sz w:val="20"/>
                <w:szCs w:val="20"/>
                <w:lang w:eastAsia="en-GB"/>
              </w:rPr>
              <w:t>£5,000,000  </w:t>
            </w:r>
          </w:p>
        </w:tc>
      </w:tr>
      <w:tr w:rsidR="007619BE" w:rsidRPr="007619BE" w14:paraId="08B17D55" w14:textId="77777777" w:rsidTr="001D45E1">
        <w:trPr>
          <w:trHeight w:val="300"/>
        </w:trPr>
        <w:tc>
          <w:tcPr>
            <w:tcW w:w="6672" w:type="dxa"/>
            <w:tcBorders>
              <w:top w:val="single" w:sz="6" w:space="0" w:color="auto"/>
              <w:left w:val="single" w:sz="6" w:space="0" w:color="auto"/>
              <w:bottom w:val="single" w:sz="6" w:space="0" w:color="auto"/>
              <w:right w:val="single" w:sz="6" w:space="0" w:color="auto"/>
            </w:tcBorders>
            <w:hideMark/>
          </w:tcPr>
          <w:p w14:paraId="7936A493" w14:textId="466A3A65" w:rsidR="007619BE" w:rsidRPr="00E22F32" w:rsidRDefault="007619BE" w:rsidP="00823BE7">
            <w:pPr>
              <w:spacing w:line="240" w:lineRule="auto"/>
              <w:ind w:right="-525"/>
              <w:jc w:val="both"/>
              <w:textAlignment w:val="baseline"/>
              <w:rPr>
                <w:rFonts w:ascii="Segoe UI" w:eastAsia="Times New Roman" w:hAnsi="Segoe UI" w:cs="Segoe UI"/>
                <w:sz w:val="20"/>
                <w:szCs w:val="20"/>
                <w:lang w:eastAsia="en-GB"/>
              </w:rPr>
            </w:pPr>
            <w:r w:rsidRPr="00E22F32">
              <w:rPr>
                <w:rFonts w:eastAsia="Times New Roman" w:cs="Segoe UI"/>
                <w:sz w:val="20"/>
                <w:szCs w:val="20"/>
                <w:lang w:eastAsia="en-GB"/>
              </w:rPr>
              <w:t>Direct reports</w:t>
            </w:r>
            <w:r w:rsidR="00E22F32">
              <w:rPr>
                <w:rStyle w:val="FootnoteReference"/>
                <w:rFonts w:eastAsia="Times New Roman" w:cs="Segoe UI"/>
                <w:sz w:val="20"/>
                <w:szCs w:val="20"/>
                <w:lang w:eastAsia="en-GB"/>
              </w:rPr>
              <w:footnoteReference w:id="34"/>
            </w:r>
            <w:r w:rsidRPr="00E22F32">
              <w:rPr>
                <w:rFonts w:eastAsia="Times New Roman" w:cs="Segoe UI"/>
                <w:sz w:val="20"/>
                <w:szCs w:val="20"/>
                <w:lang w:eastAsia="en-GB"/>
              </w:rPr>
              <w:t xml:space="preserve"> to </w:t>
            </w:r>
            <w:r w:rsidR="00E22F32">
              <w:rPr>
                <w:rFonts w:eastAsia="Times New Roman" w:cs="Segoe UI"/>
                <w:sz w:val="20"/>
                <w:szCs w:val="20"/>
                <w:lang w:eastAsia="en-GB"/>
              </w:rPr>
              <w:t xml:space="preserve">the CEO and other members </w:t>
            </w:r>
            <w:r w:rsidRPr="00E22F32">
              <w:rPr>
                <w:rFonts w:eastAsia="Times New Roman" w:cs="Segoe UI"/>
                <w:sz w:val="20"/>
                <w:szCs w:val="20"/>
                <w:lang w:eastAsia="en-GB"/>
              </w:rPr>
              <w:t xml:space="preserve">of the </w:t>
            </w:r>
            <w:r w:rsidR="00823BE7">
              <w:rPr>
                <w:rFonts w:eastAsia="Times New Roman" w:cs="Segoe UI"/>
                <w:sz w:val="20"/>
                <w:szCs w:val="20"/>
                <w:lang w:eastAsia="en-GB"/>
              </w:rPr>
              <w:br/>
            </w:r>
            <w:r w:rsidRPr="00E22F32">
              <w:rPr>
                <w:rFonts w:eastAsia="Times New Roman" w:cs="Segoe UI"/>
                <w:sz w:val="20"/>
                <w:szCs w:val="20"/>
                <w:lang w:eastAsia="en-GB"/>
              </w:rPr>
              <w:t xml:space="preserve">Executive in Transformation, Technology, Revenue and </w:t>
            </w:r>
            <w:r w:rsidR="00823BE7">
              <w:rPr>
                <w:rFonts w:eastAsia="Times New Roman" w:cs="Segoe UI"/>
                <w:sz w:val="20"/>
                <w:szCs w:val="20"/>
                <w:lang w:eastAsia="en-GB"/>
              </w:rPr>
              <w:br/>
            </w:r>
            <w:r w:rsidRPr="00E22F32">
              <w:rPr>
                <w:rFonts w:eastAsia="Times New Roman" w:cs="Segoe UI"/>
                <w:sz w:val="20"/>
                <w:szCs w:val="20"/>
                <w:lang w:eastAsia="en-GB"/>
              </w:rPr>
              <w:t>Operations   </w:t>
            </w:r>
          </w:p>
        </w:tc>
        <w:tc>
          <w:tcPr>
            <w:tcW w:w="1550" w:type="dxa"/>
            <w:tcBorders>
              <w:top w:val="single" w:sz="6" w:space="0" w:color="auto"/>
              <w:left w:val="single" w:sz="6" w:space="0" w:color="auto"/>
              <w:bottom w:val="single" w:sz="6" w:space="0" w:color="auto"/>
              <w:right w:val="single" w:sz="6" w:space="0" w:color="auto"/>
            </w:tcBorders>
            <w:hideMark/>
          </w:tcPr>
          <w:p w14:paraId="40549A55" w14:textId="77777777" w:rsidR="007619BE" w:rsidRPr="00E22F32" w:rsidRDefault="007619BE" w:rsidP="007619BE">
            <w:pPr>
              <w:spacing w:line="240" w:lineRule="auto"/>
              <w:ind w:right="-525"/>
              <w:textAlignment w:val="baseline"/>
              <w:rPr>
                <w:rFonts w:ascii="Segoe UI" w:eastAsia="Times New Roman" w:hAnsi="Segoe UI" w:cs="Segoe UI"/>
                <w:sz w:val="20"/>
                <w:szCs w:val="20"/>
                <w:lang w:eastAsia="en-GB"/>
              </w:rPr>
            </w:pPr>
            <w:r w:rsidRPr="00E22F32">
              <w:rPr>
                <w:rFonts w:eastAsia="Times New Roman" w:cs="Segoe UI"/>
                <w:sz w:val="20"/>
                <w:szCs w:val="20"/>
                <w:lang w:eastAsia="en-GB"/>
              </w:rPr>
              <w:t>£2,000,000  </w:t>
            </w:r>
          </w:p>
        </w:tc>
      </w:tr>
      <w:tr w:rsidR="007619BE" w:rsidRPr="007619BE" w14:paraId="0ECD0860" w14:textId="77777777" w:rsidTr="001D45E1">
        <w:trPr>
          <w:trHeight w:val="300"/>
        </w:trPr>
        <w:tc>
          <w:tcPr>
            <w:tcW w:w="6672" w:type="dxa"/>
            <w:tcBorders>
              <w:top w:val="single" w:sz="6" w:space="0" w:color="auto"/>
              <w:left w:val="single" w:sz="6" w:space="0" w:color="auto"/>
              <w:bottom w:val="single" w:sz="6" w:space="0" w:color="auto"/>
              <w:right w:val="single" w:sz="6" w:space="0" w:color="auto"/>
            </w:tcBorders>
            <w:hideMark/>
          </w:tcPr>
          <w:p w14:paraId="1C21E02D" w14:textId="744F1B6A" w:rsidR="007619BE" w:rsidRPr="00E22F32" w:rsidRDefault="007619BE" w:rsidP="00823BE7">
            <w:pPr>
              <w:spacing w:line="240" w:lineRule="auto"/>
              <w:jc w:val="both"/>
              <w:textAlignment w:val="baseline"/>
              <w:rPr>
                <w:rFonts w:ascii="Segoe UI" w:eastAsia="Times New Roman" w:hAnsi="Segoe UI" w:cs="Segoe UI"/>
                <w:sz w:val="20"/>
                <w:szCs w:val="20"/>
                <w:lang w:eastAsia="en-GB"/>
              </w:rPr>
            </w:pPr>
            <w:r w:rsidRPr="00E22F32">
              <w:rPr>
                <w:rFonts w:eastAsia="Times New Roman" w:cs="Segoe UI"/>
                <w:sz w:val="20"/>
                <w:szCs w:val="20"/>
                <w:lang w:eastAsia="en-GB"/>
              </w:rPr>
              <w:t xml:space="preserve">Direct reports to members of the Executive in Finance, </w:t>
            </w:r>
            <w:r w:rsidR="00823BE7">
              <w:rPr>
                <w:rFonts w:eastAsia="Times New Roman" w:cs="Segoe UI"/>
                <w:sz w:val="20"/>
                <w:szCs w:val="20"/>
                <w:lang w:eastAsia="en-GB"/>
              </w:rPr>
              <w:br/>
            </w:r>
            <w:r w:rsidRPr="00E22F32">
              <w:rPr>
                <w:rFonts w:eastAsia="Times New Roman" w:cs="Segoe UI"/>
                <w:sz w:val="20"/>
                <w:szCs w:val="20"/>
                <w:lang w:eastAsia="en-GB"/>
              </w:rPr>
              <w:t>Corporate Affairs, People and General Counsel </w:t>
            </w:r>
          </w:p>
        </w:tc>
        <w:tc>
          <w:tcPr>
            <w:tcW w:w="1550" w:type="dxa"/>
            <w:tcBorders>
              <w:top w:val="single" w:sz="6" w:space="0" w:color="auto"/>
              <w:left w:val="single" w:sz="6" w:space="0" w:color="auto"/>
              <w:bottom w:val="single" w:sz="6" w:space="0" w:color="auto"/>
              <w:right w:val="single" w:sz="6" w:space="0" w:color="auto"/>
            </w:tcBorders>
            <w:hideMark/>
          </w:tcPr>
          <w:p w14:paraId="5AA1DDF6" w14:textId="77777777" w:rsidR="007619BE" w:rsidRPr="00E22F32" w:rsidRDefault="007619BE" w:rsidP="007619BE">
            <w:pPr>
              <w:spacing w:line="240" w:lineRule="auto"/>
              <w:textAlignment w:val="baseline"/>
              <w:rPr>
                <w:rFonts w:ascii="Segoe UI" w:eastAsia="Times New Roman" w:hAnsi="Segoe UI" w:cs="Segoe UI"/>
                <w:sz w:val="20"/>
                <w:szCs w:val="20"/>
                <w:lang w:eastAsia="en-GB"/>
              </w:rPr>
            </w:pPr>
            <w:r w:rsidRPr="00E22F32">
              <w:rPr>
                <w:rFonts w:eastAsia="Times New Roman" w:cs="Segoe UI"/>
                <w:sz w:val="20"/>
                <w:szCs w:val="20"/>
                <w:lang w:eastAsia="en-GB"/>
              </w:rPr>
              <w:t>£500,000 </w:t>
            </w:r>
          </w:p>
        </w:tc>
      </w:tr>
    </w:tbl>
    <w:p w14:paraId="6AC714D4" w14:textId="77777777" w:rsidR="007619BE" w:rsidRPr="007619BE" w:rsidRDefault="007619BE" w:rsidP="007619BE">
      <w:pPr>
        <w:ind w:left="709" w:right="-514"/>
        <w:jc w:val="both"/>
        <w:rPr>
          <w:b/>
        </w:rPr>
      </w:pPr>
    </w:p>
    <w:p w14:paraId="7276ED91" w14:textId="77777777" w:rsidR="007619BE" w:rsidRPr="007619BE" w:rsidRDefault="007619BE" w:rsidP="00064675">
      <w:pPr>
        <w:spacing w:line="240" w:lineRule="auto"/>
        <w:ind w:left="720" w:right="95"/>
        <w:jc w:val="both"/>
        <w:rPr>
          <w:rFonts w:eastAsiaTheme="minorHAnsi" w:cstheme="minorBidi"/>
          <w:color w:val="000000"/>
          <w:shd w:val="clear" w:color="auto" w:fill="FFFFFF"/>
        </w:rPr>
      </w:pPr>
      <w:r w:rsidRPr="000915BC">
        <w:rPr>
          <w:rFonts w:eastAsiaTheme="minorHAnsi" w:cstheme="minorBidi"/>
          <w:color w:val="000000"/>
          <w:shd w:val="clear" w:color="auto" w:fill="FFFFFF"/>
        </w:rPr>
        <w:t>The Group CEO may sub-delegate up to his budgeted spend limit of £15,000,000 and determine the conditions of that delegation. Confirmation of such delegation must be provided to the Group Company Secretary in writing.</w:t>
      </w:r>
      <w:r w:rsidRPr="007619BE">
        <w:rPr>
          <w:rFonts w:eastAsiaTheme="minorHAnsi" w:cstheme="minorBidi"/>
          <w:color w:val="000000"/>
          <w:shd w:val="clear" w:color="auto" w:fill="FFFFFF"/>
        </w:rPr>
        <w:t xml:space="preserve">   </w:t>
      </w:r>
    </w:p>
    <w:p w14:paraId="5784CAE3" w14:textId="77777777" w:rsidR="007619BE" w:rsidRPr="007619BE" w:rsidRDefault="007619BE" w:rsidP="00064675">
      <w:pPr>
        <w:spacing w:line="240" w:lineRule="auto"/>
        <w:ind w:left="720" w:right="95"/>
        <w:jc w:val="both"/>
        <w:rPr>
          <w:rFonts w:eastAsiaTheme="minorHAnsi" w:cstheme="minorBidi"/>
          <w:color w:val="000000"/>
          <w:shd w:val="clear" w:color="auto" w:fill="FFFFFF"/>
        </w:rPr>
      </w:pPr>
    </w:p>
    <w:p w14:paraId="551AFAD2" w14:textId="1D15A4BF" w:rsidR="00557B2A" w:rsidRPr="000915BC" w:rsidRDefault="007619BE" w:rsidP="00064675">
      <w:pPr>
        <w:spacing w:line="240" w:lineRule="auto"/>
        <w:ind w:left="720" w:right="95"/>
        <w:jc w:val="both"/>
        <w:rPr>
          <w:rFonts w:eastAsiaTheme="minorHAnsi" w:cstheme="minorBidi"/>
          <w:color w:val="000000"/>
          <w:shd w:val="clear" w:color="auto" w:fill="FFFFFF"/>
        </w:rPr>
      </w:pPr>
      <w:r w:rsidRPr="000915BC">
        <w:rPr>
          <w:rFonts w:eastAsiaTheme="minorHAnsi" w:cstheme="minorBidi"/>
          <w:color w:val="000000"/>
          <w:shd w:val="clear" w:color="auto" w:fill="FFFFFF"/>
        </w:rPr>
        <w:t xml:space="preserve">The Group CFO and members of the Executive may delegate up to their respective spend approval limits, on a permanent or </w:t>
      </w:r>
      <w:r w:rsidRPr="000915BC">
        <w:rPr>
          <w:rFonts w:eastAsiaTheme="minorHAnsi" w:cstheme="minorBidi"/>
          <w:i/>
          <w:iCs/>
          <w:color w:val="000000"/>
          <w:shd w:val="clear" w:color="auto" w:fill="FFFFFF"/>
        </w:rPr>
        <w:t>ad hoc</w:t>
      </w:r>
      <w:r w:rsidRPr="000915BC">
        <w:rPr>
          <w:rFonts w:eastAsiaTheme="minorHAnsi" w:cstheme="minorBidi"/>
          <w:color w:val="000000"/>
          <w:shd w:val="clear" w:color="auto" w:fill="FFFFFF"/>
        </w:rPr>
        <w:t xml:space="preserve"> basis, to their direct reports or below, provided confirmation of such delegation is provided to the Group Company Secretary in writing. In the absence of any notification of a specified amount, direct reports to members of the Executive have spend authority up the limits set out in the above table.</w:t>
      </w:r>
      <w:r w:rsidRPr="007619BE">
        <w:rPr>
          <w:rFonts w:eastAsiaTheme="minorHAnsi" w:cstheme="minorBidi"/>
          <w:color w:val="000000"/>
          <w:shd w:val="clear" w:color="auto" w:fill="FFFFFF"/>
        </w:rPr>
        <w:t>  </w:t>
      </w:r>
    </w:p>
    <w:p w14:paraId="5910794F" w14:textId="77777777" w:rsidR="00557B2A" w:rsidRDefault="00557B2A" w:rsidP="005712F6">
      <w:pPr>
        <w:spacing w:line="240" w:lineRule="auto"/>
        <w:ind w:left="709" w:right="95"/>
        <w:jc w:val="both"/>
      </w:pPr>
    </w:p>
    <w:p w14:paraId="6B9CE09B" w14:textId="547D603D" w:rsidR="00710170" w:rsidRDefault="0060790E" w:rsidP="00064675">
      <w:pPr>
        <w:ind w:left="720" w:right="-514"/>
        <w:rPr>
          <w:b/>
          <w:i/>
        </w:rPr>
      </w:pPr>
      <w:r w:rsidRPr="0060790E">
        <w:rPr>
          <w:b/>
          <w:i/>
        </w:rPr>
        <w:t xml:space="preserve">Authorised Signatories </w:t>
      </w:r>
      <w:r w:rsidR="009B100C">
        <w:rPr>
          <w:b/>
          <w:i/>
        </w:rPr>
        <w:t xml:space="preserve">&amp; Company Seal Authority </w:t>
      </w:r>
    </w:p>
    <w:p w14:paraId="5B513667" w14:textId="0ED5B21C" w:rsidR="00710170" w:rsidRDefault="00710170" w:rsidP="00064675">
      <w:pPr>
        <w:spacing w:line="240" w:lineRule="auto"/>
        <w:ind w:left="720"/>
        <w:jc w:val="both"/>
        <w:rPr>
          <w:rFonts w:cs="Arial"/>
        </w:rPr>
      </w:pPr>
      <w:r w:rsidRPr="00491182">
        <w:rPr>
          <w:rFonts w:cs="Arial"/>
        </w:rPr>
        <w:t xml:space="preserve">The following </w:t>
      </w:r>
      <w:r w:rsidR="005F15ED">
        <w:rPr>
          <w:rFonts w:cs="Arial"/>
        </w:rPr>
        <w:t>positions</w:t>
      </w:r>
      <w:r w:rsidRPr="00491182">
        <w:rPr>
          <w:rFonts w:cs="Arial"/>
        </w:rPr>
        <w:t xml:space="preserve"> are approved to sign documents that will bind </w:t>
      </w:r>
      <w:r w:rsidR="00246E80">
        <w:rPr>
          <w:rFonts w:cs="Arial"/>
        </w:rPr>
        <w:t>the Company</w:t>
      </w:r>
      <w:r w:rsidRPr="00491182">
        <w:rPr>
          <w:rFonts w:cs="Arial"/>
        </w:rPr>
        <w:t xml:space="preserve"> such as</w:t>
      </w:r>
      <w:r>
        <w:rPr>
          <w:rFonts w:cs="Arial"/>
        </w:rPr>
        <w:t>, but not limited to,</w:t>
      </w:r>
      <w:r w:rsidRPr="00491182">
        <w:rPr>
          <w:rFonts w:cs="Arial"/>
        </w:rPr>
        <w:t xml:space="preserve"> contracts, statements of work, </w:t>
      </w:r>
      <w:r>
        <w:rPr>
          <w:rFonts w:cs="Arial"/>
        </w:rPr>
        <w:t xml:space="preserve">change notes, order forms and </w:t>
      </w:r>
      <w:r w:rsidRPr="00491182">
        <w:rPr>
          <w:rFonts w:cs="Arial"/>
        </w:rPr>
        <w:t xml:space="preserve">terms </w:t>
      </w:r>
      <w:r>
        <w:rPr>
          <w:rFonts w:cs="Arial"/>
        </w:rPr>
        <w:t>&amp;</w:t>
      </w:r>
      <w:r w:rsidRPr="00491182">
        <w:rPr>
          <w:rFonts w:cs="Arial"/>
        </w:rPr>
        <w:t xml:space="preserve"> conditions.</w:t>
      </w:r>
      <w:r>
        <w:rPr>
          <w:rStyle w:val="FootnoteReference"/>
          <w:rFonts w:cs="Arial"/>
        </w:rPr>
        <w:footnoteReference w:id="35"/>
      </w:r>
      <w:r>
        <w:rPr>
          <w:rFonts w:cs="Arial"/>
        </w:rPr>
        <w:t xml:space="preserve"> Signature is subject to applicable internal policies, processes and documented exceptions:</w:t>
      </w:r>
    </w:p>
    <w:p w14:paraId="0E474A10" w14:textId="5FF62661" w:rsidR="00710170" w:rsidRDefault="00710170" w:rsidP="005712F6">
      <w:pPr>
        <w:pStyle w:val="ListParagraph"/>
        <w:numPr>
          <w:ilvl w:val="0"/>
          <w:numId w:val="3"/>
        </w:numPr>
        <w:spacing w:line="240" w:lineRule="auto"/>
        <w:jc w:val="both"/>
        <w:rPr>
          <w:rFonts w:cs="Arial"/>
        </w:rPr>
      </w:pPr>
      <w:r>
        <w:rPr>
          <w:rFonts w:cs="Arial"/>
        </w:rPr>
        <w:t>Any</w:t>
      </w:r>
      <w:r w:rsidR="007C64ED">
        <w:rPr>
          <w:rFonts w:cs="Arial"/>
        </w:rPr>
        <w:t xml:space="preserve"> Statutory</w:t>
      </w:r>
      <w:r>
        <w:rPr>
          <w:rFonts w:cs="Arial"/>
        </w:rPr>
        <w:t xml:space="preserve"> Director;</w:t>
      </w:r>
    </w:p>
    <w:p w14:paraId="6A13F922" w14:textId="2168A30E" w:rsidR="00710170" w:rsidRDefault="00710170" w:rsidP="005712F6">
      <w:pPr>
        <w:pStyle w:val="ListParagraph"/>
        <w:numPr>
          <w:ilvl w:val="0"/>
          <w:numId w:val="3"/>
        </w:numPr>
        <w:spacing w:line="240" w:lineRule="auto"/>
        <w:jc w:val="both"/>
        <w:rPr>
          <w:rFonts w:cs="Arial"/>
        </w:rPr>
      </w:pPr>
      <w:r>
        <w:rPr>
          <w:rFonts w:cs="Arial"/>
        </w:rPr>
        <w:t xml:space="preserve">The </w:t>
      </w:r>
      <w:r w:rsidR="00FD1A75">
        <w:rPr>
          <w:rFonts w:cs="Arial"/>
        </w:rPr>
        <w:t xml:space="preserve">Group </w:t>
      </w:r>
      <w:r>
        <w:rPr>
          <w:rFonts w:cs="Arial"/>
        </w:rPr>
        <w:t>Company Secretary</w:t>
      </w:r>
      <w:r w:rsidR="004E2000">
        <w:rPr>
          <w:rStyle w:val="FootnoteReference"/>
          <w:rFonts w:cs="Arial"/>
        </w:rPr>
        <w:footnoteReference w:id="36"/>
      </w:r>
      <w:r>
        <w:rPr>
          <w:rFonts w:cs="Arial"/>
        </w:rPr>
        <w:t xml:space="preserve">; </w:t>
      </w:r>
    </w:p>
    <w:p w14:paraId="4E750EF6" w14:textId="67858D2A" w:rsidR="000A7EED" w:rsidRDefault="000A7EED" w:rsidP="005712F6">
      <w:pPr>
        <w:pStyle w:val="ListParagraph"/>
        <w:numPr>
          <w:ilvl w:val="0"/>
          <w:numId w:val="3"/>
        </w:numPr>
        <w:spacing w:line="240" w:lineRule="auto"/>
        <w:jc w:val="both"/>
        <w:rPr>
          <w:rFonts w:cs="Arial"/>
        </w:rPr>
      </w:pPr>
      <w:r>
        <w:rPr>
          <w:rFonts w:cs="Arial"/>
        </w:rPr>
        <w:t>The Deputy Company Secretary</w:t>
      </w:r>
    </w:p>
    <w:p w14:paraId="132E89DD" w14:textId="68E1E6EA" w:rsidR="00710170" w:rsidRDefault="00710170" w:rsidP="005712F6">
      <w:pPr>
        <w:pStyle w:val="ListParagraph"/>
        <w:numPr>
          <w:ilvl w:val="0"/>
          <w:numId w:val="3"/>
        </w:numPr>
        <w:spacing w:line="240" w:lineRule="auto"/>
        <w:jc w:val="both"/>
        <w:rPr>
          <w:rFonts w:cs="Arial"/>
        </w:rPr>
      </w:pPr>
      <w:r>
        <w:rPr>
          <w:rFonts w:cs="Arial"/>
        </w:rPr>
        <w:lastRenderedPageBreak/>
        <w:t>An</w:t>
      </w:r>
      <w:r w:rsidR="00095664">
        <w:rPr>
          <w:rFonts w:cs="Arial"/>
        </w:rPr>
        <w:t xml:space="preserve">y member of the </w:t>
      </w:r>
      <w:r w:rsidR="003A5FA8">
        <w:rPr>
          <w:rFonts w:cs="Arial"/>
        </w:rPr>
        <w:t>Executive</w:t>
      </w:r>
      <w:r w:rsidR="00D84577">
        <w:rPr>
          <w:rFonts w:cs="Arial"/>
        </w:rPr>
        <w:t xml:space="preserve"> Team</w:t>
      </w:r>
      <w:r w:rsidR="00095664">
        <w:rPr>
          <w:rStyle w:val="FootnoteReference"/>
          <w:rFonts w:cs="Arial"/>
        </w:rPr>
        <w:footnoteReference w:id="37"/>
      </w:r>
      <w:r w:rsidR="00095664">
        <w:rPr>
          <w:rFonts w:cs="Arial"/>
        </w:rPr>
        <w:t xml:space="preserve">; </w:t>
      </w:r>
      <w:r w:rsidR="005F15ED">
        <w:rPr>
          <w:rFonts w:cs="Arial"/>
        </w:rPr>
        <w:t xml:space="preserve">and </w:t>
      </w:r>
    </w:p>
    <w:p w14:paraId="4F6CFC75" w14:textId="1418ED31" w:rsidR="005F15ED" w:rsidRDefault="005F15ED" w:rsidP="005712F6">
      <w:pPr>
        <w:pStyle w:val="ListParagraph"/>
        <w:numPr>
          <w:ilvl w:val="0"/>
          <w:numId w:val="3"/>
        </w:numPr>
        <w:spacing w:line="240" w:lineRule="auto"/>
        <w:jc w:val="both"/>
        <w:rPr>
          <w:rFonts w:cs="Arial"/>
        </w:rPr>
      </w:pPr>
      <w:r>
        <w:rPr>
          <w:rFonts w:cs="Arial"/>
        </w:rPr>
        <w:t xml:space="preserve">Any Senior Assistant Company Secretary. </w:t>
      </w:r>
    </w:p>
    <w:p w14:paraId="25C5EE8C" w14:textId="77777777" w:rsidR="00E5619E" w:rsidRPr="0076402B" w:rsidRDefault="00E5619E" w:rsidP="00E5619E">
      <w:pPr>
        <w:pStyle w:val="ListParagraph"/>
        <w:spacing w:line="276" w:lineRule="auto"/>
        <w:ind w:left="1080"/>
        <w:jc w:val="both"/>
        <w:rPr>
          <w:rFonts w:cs="Arial"/>
          <w:sz w:val="12"/>
          <w:szCs w:val="12"/>
        </w:rPr>
      </w:pPr>
    </w:p>
    <w:p w14:paraId="07AA37ED" w14:textId="5BE7929E" w:rsidR="004A5F3A" w:rsidRDefault="004A5F3A" w:rsidP="0068396C">
      <w:pPr>
        <w:widowControl w:val="0"/>
        <w:spacing w:line="240" w:lineRule="auto"/>
        <w:ind w:left="720"/>
        <w:jc w:val="both"/>
        <w:rPr>
          <w:rFonts w:eastAsia="Times New Roman" w:cs="Arial"/>
          <w:lang w:val="en-US"/>
        </w:rPr>
      </w:pPr>
      <w:r w:rsidRPr="00AC478D">
        <w:rPr>
          <w:rFonts w:eastAsia="Times New Roman" w:cs="Arial"/>
          <w:lang w:val="en-US"/>
        </w:rPr>
        <w:t xml:space="preserve">The following </w:t>
      </w:r>
      <w:r w:rsidR="6053F16A" w:rsidRPr="00AC478D">
        <w:rPr>
          <w:rFonts w:eastAsia="Times New Roman" w:cs="Arial"/>
          <w:lang w:val="en-US"/>
        </w:rPr>
        <w:t>teams/</w:t>
      </w:r>
      <w:r w:rsidRPr="00AC478D">
        <w:rPr>
          <w:rFonts w:eastAsia="Times New Roman" w:cs="Arial"/>
          <w:lang w:val="en-US"/>
        </w:rPr>
        <w:t>positions</w:t>
      </w:r>
      <w:r w:rsidR="00874978">
        <w:rPr>
          <w:rStyle w:val="FootnoteReference"/>
          <w:rFonts w:eastAsia="Times New Roman" w:cs="Arial"/>
          <w:lang w:val="en-US"/>
        </w:rPr>
        <w:footnoteReference w:id="38"/>
      </w:r>
      <w:r w:rsidRPr="00AC478D">
        <w:rPr>
          <w:rFonts w:eastAsia="Times New Roman" w:cs="Arial"/>
          <w:lang w:val="en-US"/>
        </w:rPr>
        <w:t xml:space="preserve"> are permitted to sign employment contracts and similar HR related agreements (together “HR Contracts”), or Postmaster contracts, including franchise agreements (together “Postmaster Contracts”) (for the purpose as specified only) as set out below:</w:t>
      </w:r>
    </w:p>
    <w:p w14:paraId="2521CCAE" w14:textId="77777777" w:rsidR="005712F6" w:rsidRPr="0076402B" w:rsidRDefault="005712F6" w:rsidP="005712F6">
      <w:pPr>
        <w:widowControl w:val="0"/>
        <w:spacing w:line="240" w:lineRule="auto"/>
        <w:ind w:left="720"/>
        <w:jc w:val="both"/>
        <w:rPr>
          <w:rFonts w:eastAsia="Times New Roman" w:cs="Arial"/>
          <w:sz w:val="12"/>
          <w:szCs w:val="12"/>
          <w:lang w:val="en-US"/>
        </w:rPr>
      </w:pPr>
    </w:p>
    <w:tbl>
      <w:tblPr>
        <w:tblStyle w:val="TableGrid1"/>
        <w:tblW w:w="8410" w:type="dxa"/>
        <w:tblInd w:w="894" w:type="dxa"/>
        <w:tblLook w:val="04A0" w:firstRow="1" w:lastRow="0" w:firstColumn="1" w:lastColumn="0" w:noHBand="0" w:noVBand="1"/>
      </w:tblPr>
      <w:tblGrid>
        <w:gridCol w:w="4583"/>
        <w:gridCol w:w="3827"/>
      </w:tblGrid>
      <w:tr w:rsidR="004A5F3A" w:rsidRPr="002C0473" w14:paraId="6A87F0E1" w14:textId="77777777" w:rsidTr="219E7FC9">
        <w:tc>
          <w:tcPr>
            <w:tcW w:w="4583" w:type="dxa"/>
          </w:tcPr>
          <w:p w14:paraId="28302AA2" w14:textId="77777777" w:rsidR="004A5F3A" w:rsidRPr="002C0473" w:rsidRDefault="004A5F3A" w:rsidP="00695E3E">
            <w:pPr>
              <w:widowControl w:val="0"/>
              <w:jc w:val="center"/>
              <w:rPr>
                <w:rFonts w:eastAsia="Times New Roman" w:cs="Arial"/>
                <w:b/>
                <w:sz w:val="20"/>
                <w:szCs w:val="20"/>
                <w:lang w:val="en-US"/>
              </w:rPr>
            </w:pPr>
            <w:r w:rsidRPr="002C0473">
              <w:rPr>
                <w:rFonts w:eastAsia="Times New Roman" w:cs="Arial"/>
                <w:b/>
                <w:sz w:val="20"/>
                <w:szCs w:val="20"/>
                <w:lang w:val="en-US"/>
              </w:rPr>
              <w:t>Job Title</w:t>
            </w:r>
          </w:p>
        </w:tc>
        <w:tc>
          <w:tcPr>
            <w:tcW w:w="3827" w:type="dxa"/>
          </w:tcPr>
          <w:p w14:paraId="5AE050C8" w14:textId="77777777" w:rsidR="004A5F3A" w:rsidRPr="002C0473" w:rsidRDefault="004A5F3A" w:rsidP="00695E3E">
            <w:pPr>
              <w:widowControl w:val="0"/>
              <w:jc w:val="center"/>
              <w:rPr>
                <w:rFonts w:eastAsia="Times New Roman" w:cs="Arial"/>
                <w:b/>
                <w:lang w:val="en-US"/>
              </w:rPr>
            </w:pPr>
            <w:r w:rsidRPr="002C0473">
              <w:rPr>
                <w:rFonts w:eastAsia="Times New Roman" w:cs="Arial"/>
                <w:b/>
                <w:lang w:val="en-US"/>
              </w:rPr>
              <w:t>Purpose</w:t>
            </w:r>
          </w:p>
        </w:tc>
      </w:tr>
      <w:tr w:rsidR="004A5F3A" w:rsidRPr="002C0473" w14:paraId="2FB10717" w14:textId="77777777" w:rsidTr="219E7FC9">
        <w:tc>
          <w:tcPr>
            <w:tcW w:w="4583" w:type="dxa"/>
          </w:tcPr>
          <w:p w14:paraId="7C30DAFA" w14:textId="35AE88D7" w:rsidR="004A5F3A" w:rsidRPr="002C0473" w:rsidRDefault="004A5F3A" w:rsidP="219E7FC9">
            <w:pPr>
              <w:widowControl w:val="0"/>
              <w:rPr>
                <w:rFonts w:eastAsia="Times New Roman"/>
                <w:color w:val="000000"/>
                <w:sz w:val="20"/>
                <w:szCs w:val="20"/>
                <w:lang w:val="en-US"/>
              </w:rPr>
            </w:pPr>
          </w:p>
        </w:tc>
        <w:tc>
          <w:tcPr>
            <w:tcW w:w="3827" w:type="dxa"/>
            <w:vMerge w:val="restart"/>
          </w:tcPr>
          <w:p w14:paraId="794D9098" w14:textId="2AE7C46E" w:rsidR="004A5F3A" w:rsidRPr="002C0473" w:rsidRDefault="004A5F3A" w:rsidP="00695E3E">
            <w:pPr>
              <w:widowControl w:val="0"/>
              <w:rPr>
                <w:rFonts w:eastAsia="Times New Roman" w:cs="Arial"/>
                <w:sz w:val="20"/>
                <w:szCs w:val="20"/>
                <w:lang w:val="en-US"/>
              </w:rPr>
            </w:pPr>
            <w:r w:rsidRPr="002C0473">
              <w:rPr>
                <w:rFonts w:eastAsia="Times New Roman" w:cs="Arial"/>
                <w:sz w:val="20"/>
                <w:szCs w:val="20"/>
                <w:lang w:val="en-US"/>
              </w:rPr>
              <w:t xml:space="preserve">HR Contracts </w:t>
            </w:r>
          </w:p>
        </w:tc>
      </w:tr>
      <w:tr w:rsidR="004A5F3A" w:rsidRPr="002C0473" w14:paraId="1C3D2E66" w14:textId="77777777" w:rsidTr="219E7FC9">
        <w:tc>
          <w:tcPr>
            <w:tcW w:w="4583" w:type="dxa"/>
          </w:tcPr>
          <w:p w14:paraId="3569B82D" w14:textId="0F3FF204" w:rsidR="004A5F3A" w:rsidRPr="002C0473" w:rsidRDefault="004A5F3A" w:rsidP="219E7FC9">
            <w:pPr>
              <w:widowControl w:val="0"/>
              <w:rPr>
                <w:rFonts w:eastAsia="Times New Roman"/>
                <w:color w:val="000000"/>
                <w:sz w:val="20"/>
                <w:szCs w:val="20"/>
                <w:lang w:val="en-US"/>
              </w:rPr>
            </w:pPr>
            <w:r w:rsidRPr="219E7FC9">
              <w:rPr>
                <w:rFonts w:eastAsia="Times New Roman"/>
                <w:color w:val="000000" w:themeColor="text1"/>
                <w:sz w:val="20"/>
                <w:szCs w:val="20"/>
                <w:lang w:val="en-US"/>
              </w:rPr>
              <w:t>People Lead</w:t>
            </w:r>
            <w:r w:rsidR="7575C229" w:rsidRPr="219E7FC9">
              <w:rPr>
                <w:rFonts w:eastAsia="Times New Roman"/>
                <w:color w:val="000000" w:themeColor="text1"/>
                <w:sz w:val="20"/>
                <w:szCs w:val="20"/>
                <w:lang w:val="en-US"/>
              </w:rPr>
              <w:t>ership</w:t>
            </w:r>
            <w:r w:rsidRPr="219E7FC9">
              <w:rPr>
                <w:rFonts w:eastAsia="Times New Roman"/>
                <w:color w:val="000000" w:themeColor="text1"/>
                <w:sz w:val="20"/>
                <w:szCs w:val="20"/>
                <w:lang w:val="en-US"/>
              </w:rPr>
              <w:t xml:space="preserve"> Team</w:t>
            </w:r>
          </w:p>
        </w:tc>
        <w:tc>
          <w:tcPr>
            <w:tcW w:w="3827" w:type="dxa"/>
            <w:vMerge/>
          </w:tcPr>
          <w:p w14:paraId="33CB6061" w14:textId="77777777" w:rsidR="004A5F3A" w:rsidRPr="002C0473" w:rsidRDefault="004A5F3A" w:rsidP="00695E3E">
            <w:pPr>
              <w:widowControl w:val="0"/>
              <w:rPr>
                <w:rFonts w:eastAsia="Times New Roman" w:cs="Arial"/>
                <w:sz w:val="20"/>
                <w:szCs w:val="20"/>
                <w:lang w:val="en-US"/>
              </w:rPr>
            </w:pPr>
          </w:p>
        </w:tc>
      </w:tr>
      <w:tr w:rsidR="004A5F3A" w:rsidRPr="002C0473" w14:paraId="6AFCB31A" w14:textId="77777777" w:rsidTr="219E7FC9">
        <w:tc>
          <w:tcPr>
            <w:tcW w:w="4583" w:type="dxa"/>
          </w:tcPr>
          <w:p w14:paraId="7229CBA1" w14:textId="186786BB" w:rsidR="004A5F3A" w:rsidRPr="002C0473" w:rsidRDefault="68CA3C60" w:rsidP="219E7FC9">
            <w:pPr>
              <w:widowControl w:val="0"/>
              <w:rPr>
                <w:rFonts w:eastAsia="Times New Roman"/>
                <w:color w:val="000000"/>
                <w:sz w:val="20"/>
                <w:szCs w:val="20"/>
                <w:lang w:val="en-US"/>
              </w:rPr>
            </w:pPr>
            <w:r w:rsidRPr="219E7FC9">
              <w:rPr>
                <w:rFonts w:eastAsia="Times New Roman"/>
                <w:color w:val="000000" w:themeColor="text1"/>
                <w:sz w:val="20"/>
                <w:szCs w:val="20"/>
                <w:lang w:val="en-US"/>
              </w:rPr>
              <w:t xml:space="preserve">Talent Acquisition </w:t>
            </w:r>
            <w:r w:rsidR="004A5F3A" w:rsidRPr="219E7FC9">
              <w:rPr>
                <w:rFonts w:eastAsia="Times New Roman"/>
                <w:color w:val="000000" w:themeColor="text1"/>
                <w:sz w:val="20"/>
                <w:szCs w:val="20"/>
                <w:lang w:val="en-US"/>
              </w:rPr>
              <w:t>Team</w:t>
            </w:r>
          </w:p>
        </w:tc>
        <w:tc>
          <w:tcPr>
            <w:tcW w:w="3827" w:type="dxa"/>
            <w:vMerge/>
          </w:tcPr>
          <w:p w14:paraId="4875D1C1" w14:textId="77777777" w:rsidR="004A5F3A" w:rsidRPr="002C0473" w:rsidRDefault="004A5F3A" w:rsidP="00695E3E">
            <w:pPr>
              <w:widowControl w:val="0"/>
              <w:rPr>
                <w:rFonts w:eastAsia="Times New Roman" w:cs="Arial"/>
                <w:sz w:val="20"/>
                <w:szCs w:val="20"/>
                <w:lang w:val="en-US"/>
              </w:rPr>
            </w:pPr>
          </w:p>
        </w:tc>
      </w:tr>
      <w:tr w:rsidR="004A5F3A" w:rsidRPr="002C0473" w14:paraId="4E9FFAD8" w14:textId="77777777" w:rsidTr="219E7FC9">
        <w:tc>
          <w:tcPr>
            <w:tcW w:w="4583" w:type="dxa"/>
          </w:tcPr>
          <w:p w14:paraId="7B6FCC0D" w14:textId="03C45DB3" w:rsidR="004A5F3A" w:rsidRPr="002C0473" w:rsidRDefault="004A5F3A" w:rsidP="219E7FC9">
            <w:pPr>
              <w:widowControl w:val="0"/>
              <w:rPr>
                <w:rFonts w:eastAsia="Times New Roman"/>
                <w:color w:val="000000"/>
                <w:sz w:val="20"/>
                <w:szCs w:val="20"/>
                <w:lang w:val="en-US"/>
              </w:rPr>
            </w:pPr>
            <w:r w:rsidRPr="219E7FC9">
              <w:rPr>
                <w:rFonts w:eastAsia="Times New Roman"/>
                <w:color w:val="000000" w:themeColor="text1"/>
                <w:sz w:val="20"/>
                <w:szCs w:val="20"/>
                <w:lang w:val="en-US"/>
              </w:rPr>
              <w:t>People  Partnering Team</w:t>
            </w:r>
          </w:p>
        </w:tc>
        <w:tc>
          <w:tcPr>
            <w:tcW w:w="3827" w:type="dxa"/>
            <w:vMerge/>
          </w:tcPr>
          <w:p w14:paraId="0AF4063D" w14:textId="77777777" w:rsidR="004A5F3A" w:rsidRPr="002C0473" w:rsidRDefault="004A5F3A" w:rsidP="00695E3E">
            <w:pPr>
              <w:widowControl w:val="0"/>
              <w:rPr>
                <w:rFonts w:eastAsia="Times New Roman" w:cs="Arial"/>
                <w:sz w:val="20"/>
                <w:szCs w:val="20"/>
                <w:lang w:val="en-US"/>
              </w:rPr>
            </w:pPr>
          </w:p>
        </w:tc>
      </w:tr>
      <w:tr w:rsidR="004A5F3A" w:rsidRPr="002C0473" w14:paraId="52209296" w14:textId="77777777" w:rsidTr="219E7FC9">
        <w:tc>
          <w:tcPr>
            <w:tcW w:w="4583" w:type="dxa"/>
          </w:tcPr>
          <w:p w14:paraId="6A672282" w14:textId="56A87472" w:rsidR="004A5F3A" w:rsidRPr="002C0473" w:rsidRDefault="000915BC" w:rsidP="00695E3E">
            <w:pPr>
              <w:widowControl w:val="0"/>
              <w:rPr>
                <w:rFonts w:eastAsia="Times New Roman"/>
                <w:color w:val="000000"/>
                <w:sz w:val="20"/>
                <w:szCs w:val="20"/>
                <w:lang w:val="en-US"/>
              </w:rPr>
            </w:pPr>
            <w:r>
              <w:rPr>
                <w:rFonts w:eastAsia="Times New Roman"/>
                <w:color w:val="000000"/>
                <w:sz w:val="20"/>
                <w:szCs w:val="20"/>
                <w:lang w:val="en-US"/>
              </w:rPr>
              <w:t>Central Operations Director</w:t>
            </w:r>
          </w:p>
        </w:tc>
        <w:tc>
          <w:tcPr>
            <w:tcW w:w="3827" w:type="dxa"/>
            <w:vMerge w:val="restart"/>
          </w:tcPr>
          <w:p w14:paraId="11A3C09A" w14:textId="77777777" w:rsidR="004A5F3A" w:rsidRPr="002C0473" w:rsidRDefault="004A5F3A" w:rsidP="00695E3E">
            <w:pPr>
              <w:widowControl w:val="0"/>
              <w:rPr>
                <w:rFonts w:eastAsia="Times New Roman" w:cs="Arial"/>
                <w:lang w:val="en-US"/>
              </w:rPr>
            </w:pPr>
            <w:r w:rsidRPr="002C0473">
              <w:rPr>
                <w:rFonts w:eastAsia="Times New Roman" w:cs="Arial"/>
                <w:sz w:val="20"/>
                <w:szCs w:val="20"/>
                <w:lang w:val="en-US"/>
              </w:rPr>
              <w:t xml:space="preserve">Postmaster Contracts </w:t>
            </w:r>
          </w:p>
        </w:tc>
      </w:tr>
      <w:tr w:rsidR="000915BC" w:rsidRPr="002C0473" w14:paraId="2B98B01E" w14:textId="77777777" w:rsidTr="219E7FC9">
        <w:tc>
          <w:tcPr>
            <w:tcW w:w="4583" w:type="dxa"/>
          </w:tcPr>
          <w:p w14:paraId="4C60E96E" w14:textId="32879297" w:rsidR="000915BC" w:rsidRPr="00B219B2" w:rsidDel="000915BC" w:rsidRDefault="000915BC" w:rsidP="00695E3E">
            <w:pPr>
              <w:widowControl w:val="0"/>
              <w:rPr>
                <w:rFonts w:eastAsia="Times New Roman"/>
                <w:color w:val="000000"/>
                <w:sz w:val="20"/>
                <w:szCs w:val="20"/>
                <w:lang w:val="en-US"/>
              </w:rPr>
            </w:pPr>
            <w:r>
              <w:rPr>
                <w:rFonts w:eastAsia="Times New Roman"/>
                <w:color w:val="000000"/>
                <w:sz w:val="20"/>
                <w:szCs w:val="20"/>
                <w:lang w:val="en-US"/>
              </w:rPr>
              <w:t>Postmaster Experience Director</w:t>
            </w:r>
          </w:p>
        </w:tc>
        <w:tc>
          <w:tcPr>
            <w:tcW w:w="3827" w:type="dxa"/>
            <w:vMerge/>
          </w:tcPr>
          <w:p w14:paraId="3CE801C5" w14:textId="77777777" w:rsidR="000915BC" w:rsidRPr="002C0473" w:rsidRDefault="000915BC" w:rsidP="00695E3E">
            <w:pPr>
              <w:widowControl w:val="0"/>
              <w:rPr>
                <w:rFonts w:eastAsia="Times New Roman" w:cs="Arial"/>
                <w:sz w:val="20"/>
                <w:szCs w:val="20"/>
                <w:lang w:val="en-US"/>
              </w:rPr>
            </w:pPr>
          </w:p>
        </w:tc>
      </w:tr>
      <w:tr w:rsidR="004A5F3A" w:rsidRPr="002C0473" w14:paraId="740AEEEB" w14:textId="77777777" w:rsidTr="219E7FC9">
        <w:tc>
          <w:tcPr>
            <w:tcW w:w="4583" w:type="dxa"/>
          </w:tcPr>
          <w:p w14:paraId="46A458A3" w14:textId="1F4B5B58" w:rsidR="004A5F3A" w:rsidRPr="002C0473" w:rsidRDefault="004824B5" w:rsidP="00695E3E">
            <w:pPr>
              <w:widowControl w:val="0"/>
              <w:rPr>
                <w:rFonts w:eastAsia="Times New Roman"/>
                <w:color w:val="000000"/>
                <w:sz w:val="20"/>
                <w:szCs w:val="20"/>
                <w:lang w:val="en-US"/>
              </w:rPr>
            </w:pPr>
            <w:r w:rsidRPr="004824B5">
              <w:rPr>
                <w:rFonts w:eastAsia="Times New Roman"/>
                <w:color w:val="000000"/>
                <w:sz w:val="20"/>
                <w:szCs w:val="20"/>
                <w:lang w:val="en-US"/>
              </w:rPr>
              <w:t>Head of Network Onboarding</w:t>
            </w:r>
            <w:r w:rsidR="00AD10DE">
              <w:rPr>
                <w:rFonts w:eastAsia="Times New Roman"/>
                <w:color w:val="000000"/>
                <w:sz w:val="20"/>
                <w:szCs w:val="20"/>
                <w:lang w:val="en-US"/>
              </w:rPr>
              <w:t xml:space="preserve"> </w:t>
            </w:r>
          </w:p>
        </w:tc>
        <w:tc>
          <w:tcPr>
            <w:tcW w:w="3827" w:type="dxa"/>
            <w:vMerge/>
          </w:tcPr>
          <w:p w14:paraId="29E93E62" w14:textId="77777777" w:rsidR="004A5F3A" w:rsidRPr="002C0473" w:rsidRDefault="004A5F3A" w:rsidP="00695E3E">
            <w:pPr>
              <w:widowControl w:val="0"/>
              <w:rPr>
                <w:rFonts w:eastAsia="Times New Roman" w:cs="Arial"/>
                <w:lang w:val="en-US"/>
              </w:rPr>
            </w:pPr>
          </w:p>
        </w:tc>
      </w:tr>
      <w:tr w:rsidR="00906C43" w:rsidRPr="002C0473" w14:paraId="136939D0" w14:textId="77777777" w:rsidTr="219E7FC9">
        <w:tc>
          <w:tcPr>
            <w:tcW w:w="4583" w:type="dxa"/>
          </w:tcPr>
          <w:p w14:paraId="602274EA" w14:textId="513A0139" w:rsidR="00906C43" w:rsidRPr="00174912" w:rsidRDefault="00174912" w:rsidP="00695E3E">
            <w:pPr>
              <w:widowControl w:val="0"/>
              <w:rPr>
                <w:rFonts w:eastAsia="Times New Roman"/>
                <w:color w:val="000000"/>
                <w:sz w:val="20"/>
                <w:szCs w:val="20"/>
                <w:lang w:val="en-US"/>
              </w:rPr>
            </w:pPr>
            <w:r w:rsidRPr="00064675">
              <w:rPr>
                <w:rFonts w:eastAsia="Times New Roman"/>
                <w:color w:val="000000"/>
                <w:sz w:val="20"/>
                <w:szCs w:val="20"/>
                <w:lang w:val="en-US"/>
              </w:rPr>
              <w:t>Cash Planning and Service Manager</w:t>
            </w:r>
          </w:p>
        </w:tc>
        <w:tc>
          <w:tcPr>
            <w:tcW w:w="3827" w:type="dxa"/>
            <w:vMerge/>
          </w:tcPr>
          <w:p w14:paraId="24EC2C38" w14:textId="77777777" w:rsidR="00906C43" w:rsidRPr="002C0473" w:rsidRDefault="00906C43" w:rsidP="00695E3E">
            <w:pPr>
              <w:widowControl w:val="0"/>
              <w:rPr>
                <w:rFonts w:eastAsia="Times New Roman" w:cs="Arial"/>
                <w:lang w:val="en-US"/>
              </w:rPr>
            </w:pPr>
          </w:p>
        </w:tc>
      </w:tr>
      <w:tr w:rsidR="000915BC" w:rsidRPr="002C0473" w14:paraId="7E56BB5D" w14:textId="77777777" w:rsidTr="219E7FC9">
        <w:tc>
          <w:tcPr>
            <w:tcW w:w="4583" w:type="dxa"/>
          </w:tcPr>
          <w:p w14:paraId="5484F725" w14:textId="675C90E2" w:rsidR="000915BC" w:rsidRDefault="00AD10DE" w:rsidP="00695E3E">
            <w:pPr>
              <w:widowControl w:val="0"/>
              <w:rPr>
                <w:rFonts w:eastAsia="Times New Roman"/>
                <w:color w:val="000000"/>
                <w:sz w:val="20"/>
                <w:szCs w:val="20"/>
                <w:lang w:val="en-US"/>
              </w:rPr>
            </w:pPr>
            <w:r w:rsidRPr="00064675">
              <w:rPr>
                <w:rFonts w:eastAsia="Times New Roman"/>
                <w:color w:val="000000"/>
                <w:sz w:val="20"/>
                <w:szCs w:val="20"/>
              </w:rPr>
              <w:t>Financial Assessment Manager</w:t>
            </w:r>
            <w:r>
              <w:rPr>
                <w:rFonts w:eastAsia="Times New Roman"/>
                <w:color w:val="000000"/>
                <w:sz w:val="20"/>
                <w:szCs w:val="20"/>
              </w:rPr>
              <w:t xml:space="preserve"> </w:t>
            </w:r>
          </w:p>
        </w:tc>
        <w:tc>
          <w:tcPr>
            <w:tcW w:w="3827" w:type="dxa"/>
            <w:vMerge/>
          </w:tcPr>
          <w:p w14:paraId="0C0A3317" w14:textId="77777777" w:rsidR="000915BC" w:rsidRPr="002C0473" w:rsidRDefault="000915BC" w:rsidP="00695E3E">
            <w:pPr>
              <w:widowControl w:val="0"/>
              <w:rPr>
                <w:rFonts w:eastAsia="Times New Roman" w:cs="Arial"/>
                <w:lang w:val="en-US"/>
              </w:rPr>
            </w:pPr>
          </w:p>
        </w:tc>
      </w:tr>
      <w:tr w:rsidR="004A5F3A" w:rsidRPr="002C0473" w14:paraId="65FA973F" w14:textId="77777777" w:rsidTr="219E7FC9">
        <w:tc>
          <w:tcPr>
            <w:tcW w:w="4583" w:type="dxa"/>
          </w:tcPr>
          <w:p w14:paraId="528542CF" w14:textId="652F1128" w:rsidR="004A5F3A" w:rsidRPr="002C0473" w:rsidRDefault="00383EB6" w:rsidP="00695E3E">
            <w:pPr>
              <w:widowControl w:val="0"/>
              <w:rPr>
                <w:rFonts w:eastAsia="Times New Roman"/>
                <w:color w:val="000000"/>
                <w:sz w:val="20"/>
                <w:szCs w:val="20"/>
                <w:lang w:val="en-US"/>
              </w:rPr>
            </w:pPr>
            <w:r w:rsidRPr="00064675">
              <w:rPr>
                <w:rFonts w:eastAsia="Times New Roman"/>
                <w:color w:val="000000"/>
                <w:sz w:val="20"/>
                <w:szCs w:val="20"/>
              </w:rPr>
              <w:t>Onboarding Quality &amp; Performance Lead</w:t>
            </w:r>
            <w:r>
              <w:rPr>
                <w:rFonts w:eastAsia="Times New Roman"/>
                <w:color w:val="000000"/>
                <w:sz w:val="20"/>
                <w:szCs w:val="20"/>
                <w:lang w:val="en-US"/>
              </w:rPr>
              <w:t xml:space="preserve"> </w:t>
            </w:r>
          </w:p>
        </w:tc>
        <w:tc>
          <w:tcPr>
            <w:tcW w:w="3827" w:type="dxa"/>
            <w:vMerge/>
          </w:tcPr>
          <w:p w14:paraId="5D60CF39" w14:textId="77777777" w:rsidR="004A5F3A" w:rsidRPr="002C0473" w:rsidRDefault="004A5F3A" w:rsidP="00695E3E">
            <w:pPr>
              <w:widowControl w:val="0"/>
              <w:rPr>
                <w:rFonts w:eastAsia="Times New Roman" w:cs="Arial"/>
                <w:lang w:val="en-US"/>
              </w:rPr>
            </w:pPr>
          </w:p>
        </w:tc>
      </w:tr>
      <w:tr w:rsidR="004A5F3A" w:rsidRPr="002C0473" w14:paraId="05AA5087" w14:textId="77777777" w:rsidTr="219E7FC9">
        <w:tc>
          <w:tcPr>
            <w:tcW w:w="4583" w:type="dxa"/>
          </w:tcPr>
          <w:p w14:paraId="5989280C" w14:textId="59B20A50" w:rsidR="004A5F3A" w:rsidRPr="002C0473" w:rsidRDefault="004A5F3A" w:rsidP="00695E3E">
            <w:pPr>
              <w:widowControl w:val="0"/>
              <w:rPr>
                <w:rFonts w:eastAsia="Times New Roman"/>
                <w:color w:val="000000"/>
                <w:sz w:val="20"/>
                <w:szCs w:val="20"/>
                <w:lang w:val="en-US"/>
              </w:rPr>
            </w:pPr>
            <w:r w:rsidRPr="002C0473">
              <w:rPr>
                <w:rFonts w:eastAsia="Times New Roman"/>
                <w:color w:val="000000"/>
                <w:sz w:val="20"/>
                <w:szCs w:val="20"/>
                <w:lang w:val="en-US"/>
              </w:rPr>
              <w:t xml:space="preserve">Onboarding Team </w:t>
            </w:r>
            <w:r w:rsidR="00780486">
              <w:rPr>
                <w:rFonts w:eastAsia="Times New Roman"/>
                <w:color w:val="000000"/>
                <w:sz w:val="20"/>
                <w:szCs w:val="20"/>
                <w:lang w:val="en-US"/>
              </w:rPr>
              <w:t xml:space="preserve">Lead </w:t>
            </w:r>
          </w:p>
        </w:tc>
        <w:tc>
          <w:tcPr>
            <w:tcW w:w="3827" w:type="dxa"/>
            <w:vMerge/>
          </w:tcPr>
          <w:p w14:paraId="7DD23E3B" w14:textId="77777777" w:rsidR="004A5F3A" w:rsidRPr="002C0473" w:rsidRDefault="004A5F3A" w:rsidP="00695E3E">
            <w:pPr>
              <w:widowControl w:val="0"/>
              <w:rPr>
                <w:rFonts w:eastAsia="Times New Roman" w:cs="Arial"/>
                <w:lang w:val="en-US"/>
              </w:rPr>
            </w:pPr>
          </w:p>
        </w:tc>
      </w:tr>
    </w:tbl>
    <w:p w14:paraId="6913A936" w14:textId="21454FA3" w:rsidR="00D377EF" w:rsidRPr="0076402B" w:rsidRDefault="00D377EF" w:rsidP="00AC478D">
      <w:pPr>
        <w:spacing w:line="276" w:lineRule="auto"/>
        <w:jc w:val="both"/>
        <w:rPr>
          <w:rFonts w:cs="Arial"/>
          <w:sz w:val="12"/>
          <w:szCs w:val="12"/>
        </w:rPr>
      </w:pPr>
    </w:p>
    <w:p w14:paraId="2D8AEC8B" w14:textId="5B85EC12" w:rsidR="002C3E0F" w:rsidRDefault="002C3E0F" w:rsidP="00064675">
      <w:pPr>
        <w:pStyle w:val="paragraph"/>
        <w:spacing w:before="0" w:beforeAutospacing="0" w:after="0" w:afterAutospacing="0"/>
        <w:ind w:left="720"/>
        <w:jc w:val="both"/>
        <w:textAlignment w:val="baseline"/>
        <w:rPr>
          <w:rStyle w:val="normaltextrun"/>
          <w:rFonts w:ascii="Verdana" w:hAnsi="Verdana"/>
          <w:sz w:val="22"/>
          <w:szCs w:val="22"/>
        </w:rPr>
      </w:pPr>
      <w:r>
        <w:rPr>
          <w:rStyle w:val="normaltextrun"/>
          <w:rFonts w:ascii="Verdana" w:hAnsi="Verdana"/>
          <w:sz w:val="22"/>
          <w:szCs w:val="22"/>
        </w:rPr>
        <w:t xml:space="preserve">Any </w:t>
      </w:r>
      <w:r w:rsidRPr="00FA576E">
        <w:rPr>
          <w:rStyle w:val="normaltextrun"/>
          <w:rFonts w:ascii="Verdana" w:hAnsi="Verdana"/>
          <w:sz w:val="22"/>
          <w:szCs w:val="22"/>
          <w:u w:val="single"/>
        </w:rPr>
        <w:t>one</w:t>
      </w:r>
      <w:r>
        <w:rPr>
          <w:rStyle w:val="normaltextrun"/>
          <w:rFonts w:ascii="Verdana" w:hAnsi="Verdana"/>
          <w:sz w:val="22"/>
          <w:szCs w:val="22"/>
        </w:rPr>
        <w:t xml:space="preserve"> of the following positions is approved to authenticate the affixing </w:t>
      </w:r>
      <w:r w:rsidR="00923513">
        <w:rPr>
          <w:rStyle w:val="normaltextrun"/>
          <w:rFonts w:ascii="Verdana" w:hAnsi="Verdana"/>
          <w:sz w:val="22"/>
          <w:szCs w:val="22"/>
        </w:rPr>
        <w:t>of the Company Seal</w:t>
      </w:r>
      <w:r w:rsidR="00FA576E">
        <w:rPr>
          <w:rStyle w:val="normaltextrun"/>
          <w:rFonts w:ascii="Verdana" w:hAnsi="Verdana"/>
          <w:sz w:val="22"/>
          <w:szCs w:val="22"/>
        </w:rPr>
        <w:t xml:space="preserve"> pursuant to Article 7</w:t>
      </w:r>
      <w:r w:rsidR="00350E3C">
        <w:rPr>
          <w:rStyle w:val="normaltextrun"/>
          <w:rFonts w:ascii="Verdana" w:hAnsi="Verdana"/>
          <w:sz w:val="22"/>
          <w:szCs w:val="22"/>
        </w:rPr>
        <w:t>8 (C)</w:t>
      </w:r>
      <w:r w:rsidR="00314D5A">
        <w:rPr>
          <w:rStyle w:val="normaltextrun"/>
          <w:rFonts w:ascii="Verdana" w:hAnsi="Verdana"/>
          <w:sz w:val="22"/>
          <w:szCs w:val="22"/>
        </w:rPr>
        <w:t>:</w:t>
      </w:r>
    </w:p>
    <w:p w14:paraId="45A16936" w14:textId="44D0DFEC" w:rsidR="002C3E0F" w:rsidRDefault="002C3E0F" w:rsidP="00064675">
      <w:pPr>
        <w:pStyle w:val="paragraph"/>
        <w:numPr>
          <w:ilvl w:val="0"/>
          <w:numId w:val="5"/>
        </w:numPr>
        <w:spacing w:before="0" w:beforeAutospacing="0" w:after="0" w:afterAutospacing="0"/>
        <w:ind w:left="1080"/>
        <w:jc w:val="both"/>
        <w:textAlignment w:val="baseline"/>
        <w:rPr>
          <w:rFonts w:ascii="Verdana" w:hAnsi="Verdana"/>
          <w:sz w:val="22"/>
          <w:szCs w:val="22"/>
        </w:rPr>
      </w:pPr>
      <w:r>
        <w:rPr>
          <w:rStyle w:val="normaltextrun"/>
          <w:rFonts w:ascii="Verdana" w:hAnsi="Verdana"/>
          <w:sz w:val="22"/>
          <w:szCs w:val="22"/>
        </w:rPr>
        <w:t>A</w:t>
      </w:r>
      <w:r w:rsidR="007C64ED">
        <w:rPr>
          <w:rStyle w:val="normaltextrun"/>
          <w:rFonts w:ascii="Verdana" w:hAnsi="Verdana"/>
          <w:sz w:val="22"/>
          <w:szCs w:val="22"/>
        </w:rPr>
        <w:t xml:space="preserve"> Statutory</w:t>
      </w:r>
      <w:r>
        <w:rPr>
          <w:rStyle w:val="normaltextrun"/>
          <w:rFonts w:ascii="Verdana" w:hAnsi="Verdana"/>
          <w:sz w:val="22"/>
          <w:szCs w:val="22"/>
        </w:rPr>
        <w:t xml:space="preserve"> Director; </w:t>
      </w:r>
      <w:r>
        <w:rPr>
          <w:rStyle w:val="eop"/>
          <w:rFonts w:ascii="Verdana" w:hAnsi="Verdana"/>
          <w:sz w:val="22"/>
          <w:szCs w:val="22"/>
        </w:rPr>
        <w:t> </w:t>
      </w:r>
    </w:p>
    <w:p w14:paraId="5C4E18DA" w14:textId="77B46C2A" w:rsidR="002C3E0F" w:rsidRDefault="00FD1A75" w:rsidP="00064675">
      <w:pPr>
        <w:pStyle w:val="paragraph"/>
        <w:numPr>
          <w:ilvl w:val="0"/>
          <w:numId w:val="5"/>
        </w:numPr>
        <w:spacing w:before="0" w:beforeAutospacing="0" w:after="0" w:afterAutospacing="0"/>
        <w:ind w:left="1080"/>
        <w:jc w:val="both"/>
        <w:textAlignment w:val="baseline"/>
        <w:rPr>
          <w:rFonts w:ascii="Verdana" w:hAnsi="Verdana"/>
          <w:sz w:val="22"/>
          <w:szCs w:val="22"/>
        </w:rPr>
      </w:pPr>
      <w:r>
        <w:rPr>
          <w:rStyle w:val="normaltextrun"/>
          <w:rFonts w:ascii="Verdana" w:hAnsi="Verdana"/>
          <w:sz w:val="22"/>
          <w:szCs w:val="22"/>
        </w:rPr>
        <w:t xml:space="preserve">Group </w:t>
      </w:r>
      <w:r w:rsidR="002C3E0F">
        <w:rPr>
          <w:rStyle w:val="normaltextrun"/>
          <w:rFonts w:ascii="Verdana" w:hAnsi="Verdana"/>
          <w:sz w:val="22"/>
          <w:szCs w:val="22"/>
        </w:rPr>
        <w:t>General Counsel; </w:t>
      </w:r>
      <w:r w:rsidR="002C3E0F">
        <w:rPr>
          <w:rStyle w:val="eop"/>
          <w:rFonts w:ascii="Verdana" w:hAnsi="Verdana"/>
          <w:sz w:val="22"/>
          <w:szCs w:val="22"/>
        </w:rPr>
        <w:t> </w:t>
      </w:r>
    </w:p>
    <w:p w14:paraId="51D3DC0C" w14:textId="77777777" w:rsidR="00334B4A" w:rsidRDefault="00FD1A75" w:rsidP="00064675">
      <w:pPr>
        <w:pStyle w:val="paragraph"/>
        <w:numPr>
          <w:ilvl w:val="0"/>
          <w:numId w:val="5"/>
        </w:numPr>
        <w:spacing w:before="0" w:beforeAutospacing="0" w:after="0" w:afterAutospacing="0"/>
        <w:ind w:left="1080"/>
        <w:jc w:val="both"/>
        <w:textAlignment w:val="baseline"/>
        <w:rPr>
          <w:rStyle w:val="normaltextrun"/>
          <w:rFonts w:ascii="Verdana" w:hAnsi="Verdana"/>
          <w:sz w:val="22"/>
          <w:szCs w:val="22"/>
        </w:rPr>
      </w:pPr>
      <w:r>
        <w:rPr>
          <w:rStyle w:val="normaltextrun"/>
          <w:rFonts w:ascii="Verdana" w:hAnsi="Verdana"/>
          <w:sz w:val="22"/>
          <w:szCs w:val="22"/>
        </w:rPr>
        <w:t xml:space="preserve">Group </w:t>
      </w:r>
      <w:r w:rsidR="002C3E0F">
        <w:rPr>
          <w:rStyle w:val="normaltextrun"/>
          <w:rFonts w:ascii="Verdana" w:hAnsi="Verdana"/>
          <w:sz w:val="22"/>
          <w:szCs w:val="22"/>
        </w:rPr>
        <w:t>Company Secretary</w:t>
      </w:r>
      <w:r w:rsidR="00D16160">
        <w:rPr>
          <w:rStyle w:val="FootnoteReference"/>
          <w:rFonts w:ascii="Verdana" w:hAnsi="Verdana"/>
          <w:sz w:val="22"/>
          <w:szCs w:val="22"/>
        </w:rPr>
        <w:footnoteReference w:id="39"/>
      </w:r>
    </w:p>
    <w:p w14:paraId="34B28AB4" w14:textId="27941B37" w:rsidR="002C3E0F" w:rsidRDefault="00334B4A" w:rsidP="00064675">
      <w:pPr>
        <w:pStyle w:val="paragraph"/>
        <w:numPr>
          <w:ilvl w:val="0"/>
          <w:numId w:val="5"/>
        </w:numPr>
        <w:spacing w:before="0" w:beforeAutospacing="0" w:after="0" w:afterAutospacing="0"/>
        <w:ind w:left="1080"/>
        <w:jc w:val="both"/>
        <w:textAlignment w:val="baseline"/>
        <w:rPr>
          <w:rFonts w:ascii="Verdana" w:hAnsi="Verdana"/>
          <w:sz w:val="22"/>
          <w:szCs w:val="22"/>
        </w:rPr>
      </w:pPr>
      <w:r>
        <w:rPr>
          <w:rStyle w:val="normaltextrun"/>
          <w:rFonts w:ascii="Verdana" w:hAnsi="Verdana"/>
          <w:sz w:val="22"/>
          <w:szCs w:val="22"/>
        </w:rPr>
        <w:t>Deputy Company Secretary</w:t>
      </w:r>
      <w:r w:rsidR="002C3E0F">
        <w:rPr>
          <w:rStyle w:val="normaltextrun"/>
          <w:rFonts w:ascii="Verdana" w:hAnsi="Verdana"/>
          <w:sz w:val="22"/>
          <w:szCs w:val="22"/>
        </w:rPr>
        <w:t>; or </w:t>
      </w:r>
      <w:r w:rsidR="002C3E0F">
        <w:rPr>
          <w:rStyle w:val="eop"/>
          <w:rFonts w:ascii="Verdana" w:hAnsi="Verdana"/>
          <w:sz w:val="22"/>
          <w:szCs w:val="22"/>
        </w:rPr>
        <w:t> </w:t>
      </w:r>
    </w:p>
    <w:p w14:paraId="34881607" w14:textId="5413DF08" w:rsidR="002C3E0F" w:rsidRDefault="002C3E0F" w:rsidP="00064675">
      <w:pPr>
        <w:pStyle w:val="paragraph"/>
        <w:numPr>
          <w:ilvl w:val="0"/>
          <w:numId w:val="5"/>
        </w:numPr>
        <w:spacing w:before="0" w:beforeAutospacing="0" w:after="0" w:afterAutospacing="0"/>
        <w:ind w:left="1080"/>
        <w:jc w:val="both"/>
        <w:textAlignment w:val="baseline"/>
        <w:rPr>
          <w:rStyle w:val="eop"/>
          <w:rFonts w:ascii="Verdana" w:hAnsi="Verdana"/>
          <w:sz w:val="22"/>
          <w:szCs w:val="22"/>
        </w:rPr>
      </w:pPr>
      <w:r w:rsidRPr="002C3E0F">
        <w:rPr>
          <w:rStyle w:val="normaltextrun"/>
          <w:rFonts w:ascii="Verdana" w:hAnsi="Verdana"/>
          <w:sz w:val="22"/>
          <w:szCs w:val="22"/>
        </w:rPr>
        <w:t>Senior Assistant Company Secretary. </w:t>
      </w:r>
      <w:r w:rsidRPr="002C3E0F">
        <w:rPr>
          <w:rStyle w:val="eop"/>
          <w:rFonts w:ascii="Verdana" w:hAnsi="Verdana"/>
          <w:sz w:val="22"/>
          <w:szCs w:val="22"/>
        </w:rPr>
        <w:t> </w:t>
      </w:r>
    </w:p>
    <w:p w14:paraId="56E628F5" w14:textId="76AF1B84" w:rsidR="00693C2E" w:rsidRPr="0076402B" w:rsidRDefault="00693C2E" w:rsidP="00693C2E">
      <w:pPr>
        <w:pStyle w:val="paragraph"/>
        <w:spacing w:before="0" w:beforeAutospacing="0" w:after="0" w:afterAutospacing="0"/>
        <w:ind w:left="774"/>
        <w:jc w:val="both"/>
        <w:textAlignment w:val="baseline"/>
        <w:rPr>
          <w:rStyle w:val="eop"/>
          <w:rFonts w:ascii="Verdana" w:hAnsi="Verdana"/>
          <w:sz w:val="12"/>
          <w:szCs w:val="12"/>
        </w:rPr>
      </w:pPr>
    </w:p>
    <w:p w14:paraId="3736301A" w14:textId="5C9E73AC" w:rsidR="00693C2E" w:rsidRPr="00693C2E" w:rsidRDefault="00693C2E" w:rsidP="00064675">
      <w:pPr>
        <w:pStyle w:val="paragraph"/>
        <w:spacing w:before="0" w:beforeAutospacing="0" w:after="0" w:afterAutospacing="0"/>
        <w:ind w:left="720"/>
        <w:jc w:val="both"/>
        <w:textAlignment w:val="baseline"/>
        <w:rPr>
          <w:rStyle w:val="eop"/>
          <w:rFonts w:ascii="Verdana" w:hAnsi="Verdana"/>
          <w:sz w:val="22"/>
          <w:szCs w:val="22"/>
        </w:rPr>
      </w:pPr>
      <w:r w:rsidRPr="00693C2E">
        <w:rPr>
          <w:rStyle w:val="eop"/>
          <w:rFonts w:ascii="Verdana" w:hAnsi="Verdana"/>
          <w:sz w:val="22"/>
          <w:szCs w:val="22"/>
        </w:rPr>
        <w:t>The following position</w:t>
      </w:r>
      <w:r w:rsidR="008139A2">
        <w:rPr>
          <w:rStyle w:val="FootnoteReference"/>
          <w:rFonts w:ascii="Verdana" w:hAnsi="Verdana"/>
          <w:sz w:val="22"/>
          <w:szCs w:val="22"/>
        </w:rPr>
        <w:footnoteReference w:id="40"/>
      </w:r>
      <w:r w:rsidRPr="00693C2E">
        <w:rPr>
          <w:rStyle w:val="eop"/>
          <w:rFonts w:ascii="Verdana" w:hAnsi="Verdana"/>
          <w:sz w:val="22"/>
          <w:szCs w:val="22"/>
        </w:rPr>
        <w:t xml:space="preserve"> </w:t>
      </w:r>
      <w:r w:rsidR="26B91111" w:rsidRPr="00693C2E">
        <w:rPr>
          <w:rStyle w:val="eop"/>
          <w:rFonts w:ascii="Verdana" w:hAnsi="Verdana"/>
          <w:sz w:val="22"/>
          <w:szCs w:val="22"/>
        </w:rPr>
        <w:t>is</w:t>
      </w:r>
      <w:r w:rsidRPr="00693C2E">
        <w:rPr>
          <w:rStyle w:val="eop"/>
          <w:rFonts w:ascii="Verdana" w:hAnsi="Verdana"/>
          <w:sz w:val="22"/>
          <w:szCs w:val="22"/>
        </w:rPr>
        <w:t xml:space="preserve"> permitted to sign standard Post Office intellectual property licensing </w:t>
      </w:r>
      <w:r w:rsidR="008D62EA" w:rsidRPr="00693C2E">
        <w:rPr>
          <w:rStyle w:val="eop"/>
          <w:rFonts w:ascii="Verdana" w:hAnsi="Verdana"/>
          <w:sz w:val="22"/>
          <w:szCs w:val="22"/>
        </w:rPr>
        <w:t>letters</w:t>
      </w:r>
      <w:r w:rsidR="008139A2">
        <w:rPr>
          <w:rStyle w:val="FootnoteReference"/>
          <w:rFonts w:ascii="Verdana" w:hAnsi="Verdana"/>
          <w:sz w:val="22"/>
          <w:szCs w:val="22"/>
        </w:rPr>
        <w:footnoteReference w:id="41"/>
      </w:r>
      <w:r w:rsidR="008D62EA" w:rsidRPr="00693C2E">
        <w:rPr>
          <w:rStyle w:val="eop"/>
          <w:rFonts w:ascii="Verdana" w:hAnsi="Verdana"/>
          <w:sz w:val="22"/>
          <w:szCs w:val="22"/>
        </w:rPr>
        <w:t xml:space="preserve"> (</w:t>
      </w:r>
      <w:r w:rsidRPr="00693C2E">
        <w:rPr>
          <w:rStyle w:val="eop"/>
          <w:rFonts w:ascii="Verdana" w:hAnsi="Verdana"/>
          <w:sz w:val="22"/>
          <w:szCs w:val="22"/>
        </w:rPr>
        <w:t>for this specified purpose only):</w:t>
      </w:r>
    </w:p>
    <w:p w14:paraId="5B7DE89D" w14:textId="77777777" w:rsidR="000915BC" w:rsidRDefault="000915BC" w:rsidP="00064675">
      <w:pPr>
        <w:pStyle w:val="paragraph"/>
        <w:numPr>
          <w:ilvl w:val="0"/>
          <w:numId w:val="30"/>
        </w:numPr>
        <w:tabs>
          <w:tab w:val="left" w:pos="1080"/>
        </w:tabs>
        <w:spacing w:before="0" w:beforeAutospacing="0" w:after="0" w:afterAutospacing="0"/>
        <w:ind w:left="1080"/>
        <w:jc w:val="both"/>
        <w:textAlignment w:val="baseline"/>
        <w:rPr>
          <w:rFonts w:ascii="Verdana" w:hAnsi="Verdana"/>
          <w:sz w:val="22"/>
          <w:szCs w:val="22"/>
        </w:rPr>
      </w:pPr>
      <w:r w:rsidRPr="000915BC">
        <w:rPr>
          <w:rFonts w:ascii="Verdana" w:hAnsi="Verdana"/>
          <w:sz w:val="22"/>
          <w:szCs w:val="22"/>
        </w:rPr>
        <w:t>Chief Corporate Affairs Officer</w:t>
      </w:r>
    </w:p>
    <w:p w14:paraId="4FE8F051" w14:textId="77777777" w:rsidR="004D497D" w:rsidRPr="0076402B" w:rsidRDefault="004D497D" w:rsidP="0068396C">
      <w:pPr>
        <w:pStyle w:val="paragraph"/>
        <w:spacing w:before="0" w:beforeAutospacing="0" w:after="0" w:afterAutospacing="0"/>
        <w:ind w:left="774"/>
        <w:jc w:val="both"/>
        <w:textAlignment w:val="baseline"/>
        <w:rPr>
          <w:rStyle w:val="eop"/>
          <w:rFonts w:ascii="Verdana" w:hAnsi="Verdana"/>
          <w:sz w:val="12"/>
          <w:szCs w:val="12"/>
        </w:rPr>
      </w:pPr>
    </w:p>
    <w:p w14:paraId="36BC7DBE" w14:textId="4589E3A9" w:rsidR="00693C2E" w:rsidRPr="00693C2E" w:rsidRDefault="00693C2E" w:rsidP="00064675">
      <w:pPr>
        <w:pStyle w:val="paragraph"/>
        <w:spacing w:before="0" w:beforeAutospacing="0" w:after="0" w:afterAutospacing="0"/>
        <w:ind w:left="720"/>
        <w:jc w:val="both"/>
        <w:textAlignment w:val="baseline"/>
        <w:rPr>
          <w:rStyle w:val="eop"/>
          <w:rFonts w:ascii="Verdana" w:hAnsi="Verdana"/>
          <w:sz w:val="22"/>
          <w:szCs w:val="22"/>
        </w:rPr>
      </w:pPr>
      <w:r w:rsidRPr="00693C2E">
        <w:rPr>
          <w:rStyle w:val="eop"/>
          <w:rFonts w:ascii="Verdana" w:hAnsi="Verdana"/>
          <w:sz w:val="22"/>
          <w:szCs w:val="22"/>
        </w:rPr>
        <w:t xml:space="preserve">The following </w:t>
      </w:r>
      <w:r w:rsidR="00E06F55" w:rsidRPr="00693C2E">
        <w:rPr>
          <w:rStyle w:val="eop"/>
          <w:rFonts w:ascii="Verdana" w:hAnsi="Verdana"/>
          <w:sz w:val="22"/>
          <w:szCs w:val="22"/>
        </w:rPr>
        <w:t>position</w:t>
      </w:r>
      <w:r w:rsidR="007D0717">
        <w:rPr>
          <w:rStyle w:val="FootnoteReference"/>
          <w:rFonts w:ascii="Verdana" w:hAnsi="Verdana"/>
          <w:sz w:val="22"/>
          <w:szCs w:val="22"/>
        </w:rPr>
        <w:footnoteReference w:id="42"/>
      </w:r>
      <w:r w:rsidR="00E06F55" w:rsidRPr="00693C2E">
        <w:rPr>
          <w:rStyle w:val="eop"/>
          <w:rFonts w:ascii="Verdana" w:hAnsi="Verdana"/>
          <w:sz w:val="22"/>
          <w:szCs w:val="22"/>
        </w:rPr>
        <w:t xml:space="preserve"> </w:t>
      </w:r>
      <w:r w:rsidR="00477764">
        <w:rPr>
          <w:rStyle w:val="eop"/>
          <w:rFonts w:ascii="Verdana" w:hAnsi="Verdana"/>
          <w:sz w:val="22"/>
          <w:szCs w:val="22"/>
        </w:rPr>
        <w:t xml:space="preserve">is </w:t>
      </w:r>
      <w:r w:rsidRPr="00693C2E">
        <w:rPr>
          <w:rStyle w:val="eop"/>
          <w:rFonts w:ascii="Verdana" w:hAnsi="Verdana"/>
          <w:sz w:val="22"/>
          <w:szCs w:val="22"/>
        </w:rPr>
        <w:t>permitted to sign fraud recovery letters with a value up to £250,000 (for this specified purpose only):</w:t>
      </w:r>
    </w:p>
    <w:p w14:paraId="22D41E22" w14:textId="4C4871BB" w:rsidR="001F514A" w:rsidRDefault="3F253CF2" w:rsidP="00064675">
      <w:pPr>
        <w:pStyle w:val="paragraph"/>
        <w:numPr>
          <w:ilvl w:val="0"/>
          <w:numId w:val="31"/>
        </w:numPr>
        <w:spacing w:before="0" w:beforeAutospacing="0" w:after="0" w:afterAutospacing="0"/>
        <w:ind w:left="1080"/>
        <w:jc w:val="both"/>
      </w:pPr>
      <w:r w:rsidRPr="00064675">
        <w:rPr>
          <w:rFonts w:ascii="Verdana" w:eastAsia="Verdana" w:hAnsi="Verdana" w:cs="Verdana"/>
          <w:sz w:val="22"/>
          <w:szCs w:val="22"/>
        </w:rPr>
        <w:t>Financial Services Director</w:t>
      </w:r>
    </w:p>
    <w:p w14:paraId="0E880DE5" w14:textId="77777777" w:rsidR="008037E6" w:rsidRPr="0076402B" w:rsidRDefault="008037E6" w:rsidP="0068396C">
      <w:pPr>
        <w:pStyle w:val="paragraph"/>
        <w:spacing w:before="0" w:beforeAutospacing="0" w:after="0" w:afterAutospacing="0"/>
        <w:ind w:left="774"/>
        <w:jc w:val="both"/>
        <w:textAlignment w:val="baseline"/>
        <w:rPr>
          <w:rStyle w:val="eop"/>
          <w:rFonts w:ascii="Verdana" w:hAnsi="Verdana"/>
          <w:sz w:val="12"/>
          <w:szCs w:val="12"/>
        </w:rPr>
      </w:pPr>
    </w:p>
    <w:p w14:paraId="7D41D047" w14:textId="3A2D5C30" w:rsidR="00693C2E" w:rsidRPr="00693C2E" w:rsidRDefault="00693C2E" w:rsidP="00064675">
      <w:pPr>
        <w:pStyle w:val="paragraph"/>
        <w:spacing w:before="0" w:beforeAutospacing="0" w:after="0" w:afterAutospacing="0"/>
        <w:ind w:left="720"/>
        <w:jc w:val="both"/>
        <w:textAlignment w:val="baseline"/>
        <w:rPr>
          <w:rStyle w:val="eop"/>
          <w:rFonts w:ascii="Verdana" w:hAnsi="Verdana"/>
          <w:sz w:val="22"/>
          <w:szCs w:val="22"/>
        </w:rPr>
      </w:pPr>
      <w:r w:rsidRPr="00693C2E">
        <w:rPr>
          <w:rStyle w:val="eop"/>
          <w:rFonts w:ascii="Verdana" w:hAnsi="Verdana"/>
          <w:sz w:val="22"/>
          <w:szCs w:val="22"/>
        </w:rPr>
        <w:lastRenderedPageBreak/>
        <w:t xml:space="preserve">The following </w:t>
      </w:r>
      <w:r w:rsidR="00E06F55" w:rsidRPr="00693C2E">
        <w:rPr>
          <w:rStyle w:val="eop"/>
          <w:rFonts w:ascii="Verdana" w:hAnsi="Verdana"/>
          <w:sz w:val="22"/>
          <w:szCs w:val="22"/>
        </w:rPr>
        <w:t>position</w:t>
      </w:r>
      <w:r w:rsidR="00A14149">
        <w:rPr>
          <w:rStyle w:val="FootnoteReference"/>
          <w:rFonts w:ascii="Verdana" w:hAnsi="Verdana"/>
          <w:sz w:val="22"/>
          <w:szCs w:val="22"/>
        </w:rPr>
        <w:footnoteReference w:id="43"/>
      </w:r>
      <w:r w:rsidR="00E06F55" w:rsidRPr="00693C2E">
        <w:rPr>
          <w:rStyle w:val="eop"/>
          <w:rFonts w:ascii="Verdana" w:hAnsi="Verdana"/>
          <w:sz w:val="22"/>
          <w:szCs w:val="22"/>
        </w:rPr>
        <w:t xml:space="preserve"> </w:t>
      </w:r>
      <w:r w:rsidR="001A4AA9">
        <w:rPr>
          <w:rStyle w:val="eop"/>
          <w:rFonts w:ascii="Verdana" w:hAnsi="Verdana"/>
          <w:sz w:val="22"/>
          <w:szCs w:val="22"/>
        </w:rPr>
        <w:t>is</w:t>
      </w:r>
      <w:r w:rsidRPr="00693C2E">
        <w:rPr>
          <w:rStyle w:val="eop"/>
          <w:rFonts w:ascii="Verdana" w:hAnsi="Verdana"/>
          <w:sz w:val="22"/>
          <w:szCs w:val="22"/>
        </w:rPr>
        <w:t xml:space="preserve"> permitted to sign IT Software Sales Orders subject to an eCAF and up to the amount of £250,000 (for this specified purpose only):</w:t>
      </w:r>
    </w:p>
    <w:p w14:paraId="60E02F33" w14:textId="1311B186" w:rsidR="00693C2E" w:rsidRPr="00105C3B" w:rsidRDefault="24E461FE" w:rsidP="00064675">
      <w:pPr>
        <w:pStyle w:val="paragraph"/>
        <w:numPr>
          <w:ilvl w:val="0"/>
          <w:numId w:val="31"/>
        </w:numPr>
        <w:spacing w:before="0" w:beforeAutospacing="0" w:after="0" w:afterAutospacing="0"/>
        <w:ind w:left="1080"/>
        <w:jc w:val="both"/>
        <w:textAlignment w:val="baseline"/>
        <w:rPr>
          <w:rFonts w:ascii="Verdana" w:eastAsia="Calibri" w:hAnsi="Verdana" w:cs="Arial"/>
          <w:sz w:val="22"/>
          <w:szCs w:val="22"/>
        </w:rPr>
      </w:pPr>
      <w:r w:rsidRPr="66D33B47">
        <w:rPr>
          <w:rFonts w:ascii="Verdana" w:eastAsia="Calibri" w:hAnsi="Verdana" w:cs="Arial"/>
          <w:sz w:val="22"/>
          <w:szCs w:val="22"/>
        </w:rPr>
        <w:t>Head of Contracting Technology</w:t>
      </w:r>
    </w:p>
    <w:p w14:paraId="71FB63F3" w14:textId="77777777" w:rsidR="008037E6" w:rsidRPr="0076402B" w:rsidRDefault="008037E6" w:rsidP="0068396C">
      <w:pPr>
        <w:pStyle w:val="paragraph"/>
        <w:spacing w:before="0" w:beforeAutospacing="0" w:after="0" w:afterAutospacing="0"/>
        <w:ind w:left="1494"/>
        <w:jc w:val="both"/>
        <w:textAlignment w:val="baseline"/>
        <w:rPr>
          <w:rStyle w:val="eop"/>
          <w:rFonts w:ascii="Verdana" w:hAnsi="Verdana"/>
          <w:sz w:val="12"/>
          <w:szCs w:val="12"/>
        </w:rPr>
      </w:pPr>
    </w:p>
    <w:p w14:paraId="137F97AA" w14:textId="17D23C31" w:rsidR="00693C2E" w:rsidRPr="00693C2E" w:rsidRDefault="00693C2E" w:rsidP="00064675">
      <w:pPr>
        <w:pStyle w:val="paragraph"/>
        <w:spacing w:before="0" w:beforeAutospacing="0" w:after="0" w:afterAutospacing="0"/>
        <w:ind w:left="720"/>
        <w:jc w:val="both"/>
        <w:textAlignment w:val="baseline"/>
        <w:rPr>
          <w:rStyle w:val="eop"/>
          <w:rFonts w:ascii="Verdana" w:hAnsi="Verdana"/>
          <w:sz w:val="22"/>
          <w:szCs w:val="22"/>
        </w:rPr>
      </w:pPr>
      <w:r w:rsidRPr="00693C2E">
        <w:rPr>
          <w:rStyle w:val="eop"/>
          <w:rFonts w:ascii="Verdana" w:hAnsi="Verdana"/>
          <w:sz w:val="22"/>
          <w:szCs w:val="22"/>
        </w:rPr>
        <w:t xml:space="preserve">The following position </w:t>
      </w:r>
      <w:r w:rsidR="001A4AA9">
        <w:rPr>
          <w:rStyle w:val="eop"/>
          <w:rFonts w:ascii="Verdana" w:hAnsi="Verdana"/>
          <w:sz w:val="22"/>
          <w:szCs w:val="22"/>
        </w:rPr>
        <w:t>is</w:t>
      </w:r>
      <w:r w:rsidRPr="00693C2E">
        <w:rPr>
          <w:rStyle w:val="eop"/>
          <w:rFonts w:ascii="Verdana" w:hAnsi="Verdana"/>
          <w:sz w:val="22"/>
          <w:szCs w:val="22"/>
        </w:rPr>
        <w:t xml:space="preserve"> permitted to sign exit assistance notices and termination letters (for this specified purpose only)</w:t>
      </w:r>
      <w:r w:rsidR="00D71830">
        <w:rPr>
          <w:rStyle w:val="FootnoteReference"/>
          <w:rFonts w:ascii="Verdana" w:hAnsi="Verdana"/>
          <w:sz w:val="22"/>
          <w:szCs w:val="22"/>
        </w:rPr>
        <w:footnoteReference w:id="44"/>
      </w:r>
      <w:r w:rsidRPr="00693C2E">
        <w:rPr>
          <w:rStyle w:val="eop"/>
          <w:rFonts w:ascii="Verdana" w:hAnsi="Verdana"/>
          <w:sz w:val="22"/>
          <w:szCs w:val="22"/>
        </w:rPr>
        <w:t>:</w:t>
      </w:r>
    </w:p>
    <w:p w14:paraId="36BF8985" w14:textId="28D41CA6" w:rsidR="00693C2E" w:rsidDel="003034CF" w:rsidRDefault="003034CF" w:rsidP="00064675">
      <w:pPr>
        <w:pStyle w:val="paragraph"/>
        <w:numPr>
          <w:ilvl w:val="0"/>
          <w:numId w:val="31"/>
        </w:numPr>
        <w:spacing w:before="0" w:beforeAutospacing="0" w:after="0" w:afterAutospacing="0"/>
        <w:ind w:left="1080"/>
        <w:jc w:val="both"/>
        <w:textAlignment w:val="baseline"/>
        <w:rPr>
          <w:rStyle w:val="eop"/>
          <w:rFonts w:ascii="Verdana" w:hAnsi="Verdana"/>
          <w:sz w:val="22"/>
          <w:szCs w:val="22"/>
        </w:rPr>
      </w:pPr>
      <w:r w:rsidRPr="1CB95CCF">
        <w:rPr>
          <w:rStyle w:val="eop"/>
          <w:rFonts w:ascii="Verdana" w:hAnsi="Verdana"/>
          <w:sz w:val="22"/>
          <w:szCs w:val="22"/>
        </w:rPr>
        <w:t xml:space="preserve">Commercial Management Director </w:t>
      </w:r>
    </w:p>
    <w:p w14:paraId="2F5DA31E" w14:textId="40A45EA1" w:rsidR="1CB95CCF" w:rsidRDefault="1CB95CCF" w:rsidP="00064675">
      <w:pPr>
        <w:pStyle w:val="paragraph"/>
        <w:spacing w:before="0" w:beforeAutospacing="0" w:after="0" w:afterAutospacing="0"/>
        <w:jc w:val="both"/>
        <w:rPr>
          <w:rStyle w:val="eop"/>
          <w:rFonts w:ascii="Verdana" w:hAnsi="Verdana"/>
          <w:sz w:val="22"/>
          <w:szCs w:val="22"/>
        </w:rPr>
      </w:pPr>
    </w:p>
    <w:p w14:paraId="132B5D66" w14:textId="43B92825" w:rsidR="1D2B9BAE" w:rsidRDefault="1D2B9BAE" w:rsidP="00387BFD">
      <w:pPr>
        <w:pStyle w:val="paragraph"/>
        <w:spacing w:before="0" w:beforeAutospacing="0" w:after="0" w:afterAutospacing="0"/>
        <w:ind w:left="720"/>
        <w:jc w:val="both"/>
        <w:rPr>
          <w:rStyle w:val="eop"/>
          <w:rFonts w:ascii="Verdana" w:hAnsi="Verdana"/>
          <w:sz w:val="22"/>
          <w:szCs w:val="22"/>
        </w:rPr>
      </w:pPr>
      <w:r w:rsidRPr="1CB95CCF">
        <w:rPr>
          <w:rStyle w:val="eop"/>
          <w:rFonts w:ascii="Verdana" w:hAnsi="Verdana"/>
          <w:sz w:val="22"/>
          <w:szCs w:val="22"/>
        </w:rPr>
        <w:t>The following positions</w:t>
      </w:r>
      <w:r w:rsidRPr="1CB95CCF">
        <w:rPr>
          <w:rStyle w:val="FootnoteReference"/>
          <w:rFonts w:ascii="Verdana" w:hAnsi="Verdana"/>
          <w:sz w:val="22"/>
          <w:szCs w:val="22"/>
        </w:rPr>
        <w:footnoteReference w:id="45"/>
      </w:r>
      <w:r w:rsidRPr="1CB95CCF">
        <w:rPr>
          <w:rStyle w:val="eop"/>
          <w:rFonts w:ascii="Verdana" w:hAnsi="Verdana"/>
          <w:sz w:val="22"/>
          <w:szCs w:val="22"/>
        </w:rPr>
        <w:t xml:space="preserve"> are permitted </w:t>
      </w:r>
      <w:r w:rsidR="7FAA3519" w:rsidRPr="1CB95CCF">
        <w:rPr>
          <w:rStyle w:val="eop"/>
          <w:rFonts w:ascii="Verdana" w:hAnsi="Verdana"/>
          <w:sz w:val="22"/>
          <w:szCs w:val="22"/>
        </w:rPr>
        <w:t xml:space="preserve">to sign contract documents that are not </w:t>
      </w:r>
      <w:r w:rsidR="4D35B8A7" w:rsidRPr="1CB95CCF">
        <w:rPr>
          <w:rStyle w:val="eop"/>
          <w:rFonts w:ascii="Verdana" w:hAnsi="Verdana"/>
          <w:sz w:val="22"/>
          <w:szCs w:val="22"/>
        </w:rPr>
        <w:t>required to</w:t>
      </w:r>
      <w:r w:rsidR="7FAA3519" w:rsidRPr="1CB95CCF">
        <w:rPr>
          <w:rStyle w:val="eop"/>
          <w:rFonts w:ascii="Verdana" w:hAnsi="Verdana"/>
          <w:sz w:val="22"/>
          <w:szCs w:val="22"/>
        </w:rPr>
        <w:t xml:space="preserve"> </w:t>
      </w:r>
      <w:r w:rsidR="1AA0E429" w:rsidRPr="1CB95CCF">
        <w:rPr>
          <w:rStyle w:val="eop"/>
          <w:rFonts w:ascii="Verdana" w:hAnsi="Verdana"/>
          <w:sz w:val="22"/>
          <w:szCs w:val="22"/>
        </w:rPr>
        <w:t>be authorised through the Contract Approval Framework</w:t>
      </w:r>
      <w:r w:rsidRPr="1CB95CCF">
        <w:rPr>
          <w:rStyle w:val="FootnoteReference"/>
          <w:rFonts w:ascii="Verdana" w:hAnsi="Verdana"/>
          <w:sz w:val="22"/>
          <w:szCs w:val="22"/>
        </w:rPr>
        <w:footnoteReference w:id="46"/>
      </w:r>
      <w:r w:rsidR="1AA0E429" w:rsidRPr="1CB95CCF">
        <w:rPr>
          <w:rStyle w:val="eop"/>
          <w:rFonts w:ascii="Verdana" w:hAnsi="Verdana"/>
          <w:sz w:val="22"/>
          <w:szCs w:val="22"/>
        </w:rPr>
        <w:t>:</w:t>
      </w:r>
    </w:p>
    <w:p w14:paraId="1D6A7DDF" w14:textId="784DEE5A" w:rsidR="66860E9D" w:rsidRDefault="66860E9D" w:rsidP="00064675">
      <w:pPr>
        <w:pStyle w:val="ListParagraph"/>
        <w:numPr>
          <w:ilvl w:val="0"/>
          <w:numId w:val="31"/>
        </w:numPr>
        <w:ind w:left="1080"/>
        <w:rPr>
          <w:rFonts w:eastAsia="Verdana" w:cs="Verdana"/>
        </w:rPr>
      </w:pPr>
      <w:r w:rsidRPr="1CB95CCF">
        <w:rPr>
          <w:rFonts w:eastAsia="Verdana" w:cs="Verdana"/>
        </w:rPr>
        <w:t>Commercial Management Director</w:t>
      </w:r>
    </w:p>
    <w:p w14:paraId="2B20E206" w14:textId="56B9B59E" w:rsidR="66860E9D" w:rsidRDefault="66860E9D" w:rsidP="00064675">
      <w:pPr>
        <w:pStyle w:val="ListParagraph"/>
        <w:numPr>
          <w:ilvl w:val="0"/>
          <w:numId w:val="31"/>
        </w:numPr>
        <w:ind w:left="1080"/>
        <w:rPr>
          <w:rFonts w:eastAsia="Verdana" w:cs="Verdana"/>
        </w:rPr>
      </w:pPr>
      <w:r w:rsidRPr="1CB95CCF">
        <w:rPr>
          <w:rFonts w:eastAsia="Verdana" w:cs="Verdana"/>
        </w:rPr>
        <w:t>Head of Procurement Technology</w:t>
      </w:r>
    </w:p>
    <w:p w14:paraId="55F714D1" w14:textId="5DBB9E74" w:rsidR="66860E9D" w:rsidRDefault="66860E9D" w:rsidP="00064675">
      <w:pPr>
        <w:pStyle w:val="ListParagraph"/>
        <w:numPr>
          <w:ilvl w:val="0"/>
          <w:numId w:val="31"/>
        </w:numPr>
        <w:ind w:left="1080"/>
        <w:rPr>
          <w:rFonts w:eastAsia="Verdana" w:cs="Verdana"/>
        </w:rPr>
      </w:pPr>
      <w:r w:rsidRPr="1CB95CCF">
        <w:rPr>
          <w:rFonts w:eastAsia="Verdana" w:cs="Verdana"/>
        </w:rPr>
        <w:t>Head of Procurement non-Technology</w:t>
      </w:r>
    </w:p>
    <w:p w14:paraId="3BBF7E30" w14:textId="77777777" w:rsidR="00064675" w:rsidRPr="00064675" w:rsidRDefault="66860E9D" w:rsidP="00064675">
      <w:pPr>
        <w:pStyle w:val="ListParagraph"/>
        <w:numPr>
          <w:ilvl w:val="0"/>
          <w:numId w:val="31"/>
        </w:numPr>
        <w:ind w:left="1080"/>
      </w:pPr>
      <w:r w:rsidRPr="1CB95CCF">
        <w:rPr>
          <w:rFonts w:eastAsia="Verdana" w:cs="Verdana"/>
        </w:rPr>
        <w:t>Head of Contracting Technology</w:t>
      </w:r>
    </w:p>
    <w:p w14:paraId="1FE7E873" w14:textId="681D0115" w:rsidR="006F5A3F" w:rsidRPr="00064675" w:rsidRDefault="66860E9D" w:rsidP="00064675">
      <w:pPr>
        <w:pStyle w:val="ListParagraph"/>
        <w:numPr>
          <w:ilvl w:val="0"/>
          <w:numId w:val="31"/>
        </w:numPr>
        <w:ind w:left="1080"/>
      </w:pPr>
      <w:r w:rsidRPr="00064675">
        <w:rPr>
          <w:rFonts w:eastAsia="Verdana" w:cs="Verdana"/>
        </w:rPr>
        <w:t>Head of Contracting non-Technology</w:t>
      </w:r>
    </w:p>
    <w:p w14:paraId="7F5E33CF" w14:textId="77777777" w:rsidR="00916A7D" w:rsidRDefault="00916A7D" w:rsidP="0068396C">
      <w:pPr>
        <w:spacing w:line="240" w:lineRule="auto"/>
        <w:ind w:left="709"/>
        <w:jc w:val="both"/>
        <w:rPr>
          <w:b/>
          <w:i/>
        </w:rPr>
      </w:pPr>
    </w:p>
    <w:p w14:paraId="3A341B84" w14:textId="1D5C776C" w:rsidR="006F5A3F" w:rsidRDefault="006F5A3F" w:rsidP="00B66C3D">
      <w:pPr>
        <w:spacing w:line="240" w:lineRule="auto"/>
        <w:ind w:left="720"/>
        <w:jc w:val="both"/>
        <w:rPr>
          <w:b/>
          <w:i/>
        </w:rPr>
      </w:pPr>
      <w:r>
        <w:rPr>
          <w:b/>
          <w:i/>
        </w:rPr>
        <w:t xml:space="preserve">Records of Spend Approvals and Signatories </w:t>
      </w:r>
    </w:p>
    <w:p w14:paraId="7C10755C" w14:textId="6C24DAB1" w:rsidR="006F5A3F" w:rsidRDefault="006F5A3F" w:rsidP="00B66C3D">
      <w:pPr>
        <w:spacing w:line="240" w:lineRule="auto"/>
        <w:ind w:left="720" w:right="95"/>
        <w:jc w:val="both"/>
      </w:pPr>
      <w:r>
        <w:t xml:space="preserve">The </w:t>
      </w:r>
      <w:r w:rsidR="00FD1A75">
        <w:t xml:space="preserve">Group </w:t>
      </w:r>
      <w:r>
        <w:t>Company</w:t>
      </w:r>
      <w:r w:rsidRPr="002C3E0F">
        <w:t xml:space="preserve"> Secretary is authorised to keep a list of individuals</w:t>
      </w:r>
      <w:r>
        <w:t xml:space="preserve"> who hold authority to approve spend, are authorised signatories and may authenticate the Company Seal from time to time. Any changes in persons appointed the relevant positions must be notified to the </w:t>
      </w:r>
      <w:r w:rsidR="00FD1A75">
        <w:t xml:space="preserve">Group </w:t>
      </w:r>
      <w:r>
        <w:t xml:space="preserve">Company Secretary in writing. </w:t>
      </w:r>
    </w:p>
    <w:p w14:paraId="2B9ECC8D" w14:textId="1088EAB3" w:rsidR="00EC0D8E" w:rsidRPr="0076402B" w:rsidRDefault="00EC0D8E" w:rsidP="00B66C3D">
      <w:pPr>
        <w:spacing w:line="240" w:lineRule="auto"/>
        <w:ind w:left="720" w:right="95"/>
        <w:jc w:val="both"/>
        <w:rPr>
          <w:sz w:val="12"/>
          <w:szCs w:val="12"/>
        </w:rPr>
      </w:pPr>
    </w:p>
    <w:p w14:paraId="1A2207AC" w14:textId="77777777" w:rsidR="001A4AA9" w:rsidRDefault="001A4AA9" w:rsidP="00B66C3D">
      <w:pPr>
        <w:spacing w:line="240" w:lineRule="auto"/>
        <w:ind w:left="720" w:right="95"/>
        <w:jc w:val="both"/>
        <w:rPr>
          <w:b/>
          <w:i/>
        </w:rPr>
      </w:pPr>
    </w:p>
    <w:p w14:paraId="5DD75AC7" w14:textId="775BDC5E" w:rsidR="00577AFB" w:rsidRDefault="009E5C2D" w:rsidP="00B66C3D">
      <w:pPr>
        <w:spacing w:line="240" w:lineRule="auto"/>
        <w:ind w:left="720" w:right="95"/>
        <w:jc w:val="both"/>
        <w:rPr>
          <w:b/>
          <w:i/>
        </w:rPr>
      </w:pPr>
      <w:r w:rsidRPr="1CB95CCF">
        <w:rPr>
          <w:b/>
          <w:bCs/>
          <w:i/>
          <w:iCs/>
        </w:rPr>
        <w:t>Liabilities and Indemnities</w:t>
      </w:r>
      <w:r w:rsidR="00167A71" w:rsidRPr="1CB95CCF">
        <w:rPr>
          <w:rStyle w:val="FootnoteReference"/>
          <w:b/>
          <w:bCs/>
          <w:i/>
          <w:iCs/>
        </w:rPr>
        <w:footnoteReference w:id="47"/>
      </w:r>
    </w:p>
    <w:p w14:paraId="4848EF8B" w14:textId="63860CAB" w:rsidR="009E5C2D" w:rsidRPr="00577AFB" w:rsidRDefault="004F421F" w:rsidP="00B66C3D">
      <w:pPr>
        <w:spacing w:line="240" w:lineRule="auto"/>
        <w:ind w:left="720" w:right="95"/>
        <w:jc w:val="both"/>
        <w:rPr>
          <w:b/>
          <w:i/>
        </w:rPr>
      </w:pPr>
      <w:r>
        <w:t xml:space="preserve">Where Post Office Limited enters into arrangements/contracts as either a supplier of services or as a customer to third parties, there are categories of loss (or liability or indemnity) which cannot be limited by law (listed in (a) </w:t>
      </w:r>
      <w:r w:rsidR="00905004">
        <w:t>below</w:t>
      </w:r>
      <w:r>
        <w:t xml:space="preserve">) and others, which as common practice, are required for all contracts. </w:t>
      </w:r>
      <w:r w:rsidR="009E5C2D" w:rsidRPr="003D49E3">
        <w:t xml:space="preserve">If this is the case, the following rules shall apply: </w:t>
      </w:r>
    </w:p>
    <w:p w14:paraId="311A9378" w14:textId="77777777" w:rsidR="009E5C2D" w:rsidRPr="003D49E3" w:rsidRDefault="009E5C2D" w:rsidP="0068396C">
      <w:pPr>
        <w:spacing w:line="240" w:lineRule="auto"/>
        <w:ind w:right="95"/>
        <w:jc w:val="both"/>
      </w:pPr>
    </w:p>
    <w:p w14:paraId="6398329E" w14:textId="5564B7E6" w:rsidR="009E5C2D" w:rsidRPr="003D49E3" w:rsidRDefault="009E5C2D" w:rsidP="00B66C3D">
      <w:pPr>
        <w:pStyle w:val="ListParagraph"/>
        <w:numPr>
          <w:ilvl w:val="0"/>
          <w:numId w:val="8"/>
        </w:numPr>
        <w:spacing w:after="160" w:line="240" w:lineRule="auto"/>
        <w:ind w:left="1080" w:right="95" w:hanging="180"/>
        <w:jc w:val="both"/>
      </w:pPr>
      <w:r w:rsidRPr="003D49E3">
        <w:t xml:space="preserve">If </w:t>
      </w:r>
      <w:r w:rsidR="0043751E">
        <w:t xml:space="preserve">an </w:t>
      </w:r>
      <w:r w:rsidR="0043751E" w:rsidRPr="003D49E3">
        <w:t>unlimited</w:t>
      </w:r>
      <w:r w:rsidRPr="003D49E3">
        <w:t xml:space="preserve"> liability</w:t>
      </w:r>
      <w:r>
        <w:t>/indemnity</w:t>
      </w:r>
      <w:r w:rsidRPr="003D49E3">
        <w:t xml:space="preserve"> is for one of the following “standard liabilities</w:t>
      </w:r>
      <w:r w:rsidR="00926AA0" w:rsidRPr="003D49E3">
        <w:t>,”</w:t>
      </w:r>
      <w:r w:rsidRPr="003D49E3">
        <w:t xml:space="preserve"> no additional approval is required and approval is required under the spend approval limits; </w:t>
      </w:r>
    </w:p>
    <w:p w14:paraId="60DAB0F0" w14:textId="77777777" w:rsidR="009E5C2D" w:rsidRPr="003D49E3" w:rsidRDefault="009E5C2D" w:rsidP="00B66C3D">
      <w:pPr>
        <w:pStyle w:val="ListParagraph"/>
        <w:numPr>
          <w:ilvl w:val="0"/>
          <w:numId w:val="9"/>
        </w:numPr>
        <w:spacing w:after="160" w:line="240" w:lineRule="auto"/>
        <w:jc w:val="both"/>
      </w:pPr>
      <w:r w:rsidRPr="003D49E3">
        <w:t>Categories of loss that cannot be limited by law:</w:t>
      </w:r>
    </w:p>
    <w:p w14:paraId="40C2C359" w14:textId="77777777" w:rsidR="009E5C2D" w:rsidRPr="003D49E3" w:rsidRDefault="009E5C2D" w:rsidP="00B66C3D">
      <w:pPr>
        <w:pStyle w:val="ListParagraph"/>
        <w:numPr>
          <w:ilvl w:val="0"/>
          <w:numId w:val="10"/>
        </w:numPr>
        <w:tabs>
          <w:tab w:val="left" w:pos="1710"/>
        </w:tabs>
        <w:spacing w:after="160" w:line="240" w:lineRule="auto"/>
        <w:ind w:left="1620" w:hanging="180"/>
        <w:jc w:val="both"/>
      </w:pPr>
      <w:r w:rsidRPr="003D49E3">
        <w:t>death</w:t>
      </w:r>
    </w:p>
    <w:p w14:paraId="0ACD1736" w14:textId="77777777" w:rsidR="009E5C2D" w:rsidRPr="003D49E3" w:rsidRDefault="009E5C2D" w:rsidP="00B66C3D">
      <w:pPr>
        <w:pStyle w:val="ListParagraph"/>
        <w:numPr>
          <w:ilvl w:val="0"/>
          <w:numId w:val="10"/>
        </w:numPr>
        <w:tabs>
          <w:tab w:val="left" w:pos="1710"/>
        </w:tabs>
        <w:spacing w:after="160" w:line="240" w:lineRule="auto"/>
        <w:ind w:left="1620" w:hanging="180"/>
        <w:jc w:val="both"/>
      </w:pPr>
      <w:r w:rsidRPr="003D49E3">
        <w:t>personal injury</w:t>
      </w:r>
    </w:p>
    <w:p w14:paraId="790018FA" w14:textId="77777777" w:rsidR="009E5C2D" w:rsidRPr="003D49E3" w:rsidRDefault="009E5C2D" w:rsidP="00B66C3D">
      <w:pPr>
        <w:pStyle w:val="ListParagraph"/>
        <w:numPr>
          <w:ilvl w:val="0"/>
          <w:numId w:val="10"/>
        </w:numPr>
        <w:tabs>
          <w:tab w:val="left" w:pos="1710"/>
        </w:tabs>
        <w:spacing w:after="160" w:line="240" w:lineRule="auto"/>
        <w:ind w:left="1620" w:hanging="180"/>
        <w:jc w:val="both"/>
      </w:pPr>
      <w:r w:rsidRPr="003D49E3">
        <w:t>fraud</w:t>
      </w:r>
    </w:p>
    <w:p w14:paraId="13CB2F07" w14:textId="77777777" w:rsidR="009E5C2D" w:rsidRPr="003D49E3" w:rsidRDefault="009E5C2D" w:rsidP="00B66C3D">
      <w:pPr>
        <w:pStyle w:val="ListParagraph"/>
        <w:numPr>
          <w:ilvl w:val="0"/>
          <w:numId w:val="10"/>
        </w:numPr>
        <w:tabs>
          <w:tab w:val="left" w:pos="1710"/>
        </w:tabs>
        <w:spacing w:after="160" w:line="240" w:lineRule="auto"/>
        <w:ind w:left="1620" w:hanging="180"/>
        <w:jc w:val="both"/>
      </w:pPr>
      <w:r w:rsidRPr="003D49E3">
        <w:lastRenderedPageBreak/>
        <w:t xml:space="preserve">fraudulent misrepresentation </w:t>
      </w:r>
    </w:p>
    <w:p w14:paraId="74D7CAEC" w14:textId="77777777" w:rsidR="009E5C2D" w:rsidRPr="003D49E3" w:rsidRDefault="009E5C2D" w:rsidP="00B66C3D">
      <w:pPr>
        <w:pStyle w:val="ListParagraph"/>
        <w:numPr>
          <w:ilvl w:val="0"/>
          <w:numId w:val="9"/>
        </w:numPr>
        <w:spacing w:after="160" w:line="240" w:lineRule="auto"/>
        <w:jc w:val="both"/>
      </w:pPr>
      <w:r w:rsidRPr="003D49E3">
        <w:t xml:space="preserve">Categories of loss which reflect industry practice: </w:t>
      </w:r>
    </w:p>
    <w:p w14:paraId="1590C675" w14:textId="77777777" w:rsidR="009E5C2D" w:rsidRPr="003D49E3" w:rsidRDefault="009E5C2D" w:rsidP="00B66C3D">
      <w:pPr>
        <w:pStyle w:val="ListParagraph"/>
        <w:numPr>
          <w:ilvl w:val="0"/>
          <w:numId w:val="11"/>
        </w:numPr>
        <w:spacing w:after="160" w:line="240" w:lineRule="auto"/>
        <w:ind w:left="1620" w:hanging="180"/>
        <w:jc w:val="both"/>
      </w:pPr>
      <w:r w:rsidRPr="003D49E3">
        <w:t>breach of third party intellectual property rights (IPR);</w:t>
      </w:r>
    </w:p>
    <w:p w14:paraId="6E1A40C1" w14:textId="77777777" w:rsidR="009E5C2D" w:rsidRPr="003D49E3" w:rsidRDefault="009E5C2D" w:rsidP="00B66C3D">
      <w:pPr>
        <w:pStyle w:val="ListParagraph"/>
        <w:numPr>
          <w:ilvl w:val="0"/>
          <w:numId w:val="11"/>
        </w:numPr>
        <w:spacing w:after="160" w:line="240" w:lineRule="auto"/>
        <w:ind w:left="1620" w:hanging="180"/>
        <w:jc w:val="both"/>
      </w:pPr>
      <w:r w:rsidRPr="003D49E3">
        <w:t>breach of Confidentiality;</w:t>
      </w:r>
    </w:p>
    <w:p w14:paraId="00332C8B" w14:textId="77777777" w:rsidR="009E5C2D" w:rsidRPr="003D49E3" w:rsidRDefault="009E5C2D" w:rsidP="00B66C3D">
      <w:pPr>
        <w:pStyle w:val="ListParagraph"/>
        <w:numPr>
          <w:ilvl w:val="0"/>
          <w:numId w:val="11"/>
        </w:numPr>
        <w:spacing w:after="160" w:line="240" w:lineRule="auto"/>
        <w:ind w:left="1620" w:hanging="180"/>
        <w:jc w:val="both"/>
      </w:pPr>
      <w:r w:rsidRPr="003D49E3">
        <w:t>breach of Data Protection; and</w:t>
      </w:r>
    </w:p>
    <w:p w14:paraId="464090DC" w14:textId="77777777" w:rsidR="009E5C2D" w:rsidRPr="003D49E3" w:rsidRDefault="009E5C2D" w:rsidP="00B66C3D">
      <w:pPr>
        <w:pStyle w:val="ListParagraph"/>
        <w:numPr>
          <w:ilvl w:val="0"/>
          <w:numId w:val="11"/>
        </w:numPr>
        <w:spacing w:after="160" w:line="240" w:lineRule="auto"/>
        <w:ind w:left="1620" w:hanging="180"/>
        <w:jc w:val="both"/>
      </w:pPr>
      <w:r w:rsidRPr="003D49E3">
        <w:t>breach of applicable law.</w:t>
      </w:r>
    </w:p>
    <w:p w14:paraId="360222E3" w14:textId="77777777" w:rsidR="009E5C2D" w:rsidRPr="0076402B" w:rsidRDefault="009E5C2D" w:rsidP="009E5C2D">
      <w:pPr>
        <w:pStyle w:val="ListParagraph"/>
        <w:ind w:left="709"/>
        <w:jc w:val="both"/>
        <w:rPr>
          <w:sz w:val="12"/>
          <w:szCs w:val="12"/>
        </w:rPr>
      </w:pPr>
    </w:p>
    <w:p w14:paraId="653826C7" w14:textId="61C94ABC" w:rsidR="001D1114" w:rsidRDefault="001D1114" w:rsidP="00B66C3D">
      <w:pPr>
        <w:pStyle w:val="ListParagraph"/>
        <w:numPr>
          <w:ilvl w:val="0"/>
          <w:numId w:val="8"/>
        </w:numPr>
        <w:tabs>
          <w:tab w:val="left" w:pos="1134"/>
        </w:tabs>
        <w:spacing w:after="160" w:line="240" w:lineRule="auto"/>
        <w:ind w:left="1080" w:hanging="180"/>
        <w:jc w:val="both"/>
      </w:pPr>
      <w:r>
        <w:t>If</w:t>
      </w:r>
      <w:r w:rsidR="00C56351">
        <w:t xml:space="preserve"> </w:t>
      </w:r>
      <w:r>
        <w:t>departure is required from the standard unlimited liabilities and indemnities (listed above), the Qualified Legal Counsel</w:t>
      </w:r>
      <w:r w:rsidR="0011786B">
        <w:rPr>
          <w:rStyle w:val="FootnoteReference"/>
        </w:rPr>
        <w:footnoteReference w:id="48"/>
      </w:r>
      <w:r w:rsidR="0011786B">
        <w:t xml:space="preserve"> </w:t>
      </w:r>
      <w:r>
        <w:t>will provide a risk note on the liabilities and indemnities which will be approved by the Contract Owner and Qualified Legal Counsel and, where required (such as where liabilities or indemnities are medium/ high risk), the Group Legal Director.</w:t>
      </w:r>
    </w:p>
    <w:p w14:paraId="6743217C" w14:textId="77777777" w:rsidR="008700FE" w:rsidRPr="0076402B" w:rsidRDefault="008700FE" w:rsidP="00B66C3D">
      <w:pPr>
        <w:pStyle w:val="ListParagraph"/>
        <w:tabs>
          <w:tab w:val="left" w:pos="1134"/>
        </w:tabs>
        <w:spacing w:after="160" w:line="240" w:lineRule="auto"/>
        <w:ind w:left="1080" w:hanging="180"/>
        <w:jc w:val="both"/>
        <w:rPr>
          <w:sz w:val="12"/>
          <w:szCs w:val="12"/>
        </w:rPr>
      </w:pPr>
    </w:p>
    <w:p w14:paraId="4B7550AB" w14:textId="063C424E" w:rsidR="009E5C2D" w:rsidRPr="003D49E3" w:rsidRDefault="001D1114" w:rsidP="00B66C3D">
      <w:pPr>
        <w:pStyle w:val="ListParagraph"/>
        <w:numPr>
          <w:ilvl w:val="0"/>
          <w:numId w:val="8"/>
        </w:numPr>
        <w:spacing w:after="160" w:line="259" w:lineRule="auto"/>
        <w:ind w:left="1080" w:hanging="180"/>
        <w:jc w:val="both"/>
      </w:pPr>
      <w:r>
        <w:t>Liability and indemnity provisions in Settlement Agreements and</w:t>
      </w:r>
      <w:r w:rsidR="00B66C3D">
        <w:t xml:space="preserve"> </w:t>
      </w:r>
      <w:r>
        <w:t>Secondment Agreements arise frequently, therefore specific approvals are provided for those</w:t>
      </w:r>
      <w:r w:rsidR="001D45E1">
        <w:t xml:space="preserve">. </w:t>
      </w:r>
    </w:p>
    <w:p w14:paraId="48332182" w14:textId="72E2B8F2" w:rsidR="009E5C2D" w:rsidRPr="006E78B5" w:rsidRDefault="009E5C2D" w:rsidP="00B66C3D">
      <w:pPr>
        <w:pStyle w:val="ListParagraph"/>
        <w:tabs>
          <w:tab w:val="left" w:pos="1080"/>
        </w:tabs>
        <w:spacing w:after="160" w:line="259" w:lineRule="auto"/>
        <w:ind w:left="1080"/>
        <w:jc w:val="both"/>
      </w:pPr>
      <w:r w:rsidRPr="003D49E3">
        <w:t>There are certain matters where there is a risk of loss or liability</w:t>
      </w:r>
      <w:r>
        <w:t xml:space="preserve"> or a </w:t>
      </w:r>
      <w:r w:rsidRPr="006E78B5">
        <w:t>wider risk which should be escalated to the Board</w:t>
      </w:r>
      <w:r w:rsidR="006374CB">
        <w:t xml:space="preserve"> (and, in some instances, Shareholder)</w:t>
      </w:r>
      <w:r w:rsidR="002C7524">
        <w:rPr>
          <w:rStyle w:val="FootnoteReference"/>
        </w:rPr>
        <w:footnoteReference w:id="49"/>
      </w:r>
      <w:r w:rsidR="00BF1FE8">
        <w:t>:</w:t>
      </w:r>
    </w:p>
    <w:p w14:paraId="6C995A75" w14:textId="645DAD7F" w:rsidR="009E5C2D" w:rsidRPr="006E78B5" w:rsidRDefault="009E5C2D" w:rsidP="00B66C3D">
      <w:pPr>
        <w:pStyle w:val="ListParagraph"/>
        <w:numPr>
          <w:ilvl w:val="0"/>
          <w:numId w:val="12"/>
        </w:numPr>
        <w:tabs>
          <w:tab w:val="left" w:pos="993"/>
        </w:tabs>
        <w:spacing w:after="160" w:line="259" w:lineRule="auto"/>
        <w:ind w:left="1800"/>
        <w:jc w:val="both"/>
      </w:pPr>
      <w:r w:rsidRPr="006E78B5">
        <w:t>a granting of a security in excess of</w:t>
      </w:r>
      <w:r w:rsidRPr="006E78B5">
        <w:rPr>
          <w:spacing w:val="-10"/>
        </w:rPr>
        <w:t xml:space="preserve"> </w:t>
      </w:r>
      <w:r w:rsidR="00BF1FE8">
        <w:t>£</w:t>
      </w:r>
      <w:r w:rsidR="006B01E5">
        <w:t>1</w:t>
      </w:r>
      <w:r w:rsidR="00BF1FE8">
        <w:t>5m</w:t>
      </w:r>
      <w:r w:rsidR="006374CB">
        <w:rPr>
          <w:rStyle w:val="FootnoteReference"/>
        </w:rPr>
        <w:footnoteReference w:id="50"/>
      </w:r>
      <w:r w:rsidR="00BF1FE8">
        <w:t>;</w:t>
      </w:r>
    </w:p>
    <w:p w14:paraId="5230195D" w14:textId="7FE13B92" w:rsidR="009E5C2D" w:rsidRPr="006E78B5" w:rsidRDefault="009E5C2D" w:rsidP="00B66C3D">
      <w:pPr>
        <w:pStyle w:val="ListParagraph"/>
        <w:numPr>
          <w:ilvl w:val="0"/>
          <w:numId w:val="12"/>
        </w:numPr>
        <w:tabs>
          <w:tab w:val="left" w:pos="993"/>
        </w:tabs>
        <w:spacing w:after="160" w:line="259" w:lineRule="auto"/>
        <w:ind w:left="1800"/>
        <w:jc w:val="both"/>
      </w:pPr>
      <w:r w:rsidRPr="006E78B5">
        <w:t xml:space="preserve">a new area of business which might bring </w:t>
      </w:r>
      <w:r>
        <w:t>the Group</w:t>
      </w:r>
      <w:r w:rsidRPr="006E78B5">
        <w:t xml:space="preserve"> within the scope of oversight of a regulator to which it has not previously been</w:t>
      </w:r>
      <w:r w:rsidRPr="006E78B5">
        <w:rPr>
          <w:spacing w:val="-4"/>
        </w:rPr>
        <w:t xml:space="preserve"> </w:t>
      </w:r>
      <w:r w:rsidR="00BF1FE8">
        <w:t>subject</w:t>
      </w:r>
      <w:r w:rsidR="006374CB">
        <w:rPr>
          <w:rStyle w:val="FootnoteReference"/>
        </w:rPr>
        <w:footnoteReference w:id="51"/>
      </w:r>
      <w:r w:rsidR="00BF1FE8">
        <w:t>;</w:t>
      </w:r>
    </w:p>
    <w:p w14:paraId="1A49DD21" w14:textId="78D5BB93" w:rsidR="009E5C2D" w:rsidRPr="009E5C2D" w:rsidRDefault="009E5C2D" w:rsidP="00B66C3D">
      <w:pPr>
        <w:pStyle w:val="ListParagraph"/>
        <w:numPr>
          <w:ilvl w:val="0"/>
          <w:numId w:val="12"/>
        </w:numPr>
        <w:tabs>
          <w:tab w:val="left" w:pos="993"/>
        </w:tabs>
        <w:spacing w:after="160" w:line="259" w:lineRule="auto"/>
        <w:ind w:left="1800"/>
        <w:jc w:val="both"/>
      </w:pPr>
      <w:r w:rsidRPr="006E78B5">
        <w:t>a matter which gives</w:t>
      </w:r>
      <w:r>
        <w:t xml:space="preserve"> rise to risk in excess of £</w:t>
      </w:r>
      <w:r w:rsidR="006B01E5">
        <w:t>1</w:t>
      </w:r>
      <w:r>
        <w:t>5m</w:t>
      </w:r>
      <w:r w:rsidRPr="006E78B5">
        <w:t xml:space="preserve"> in maintaining s</w:t>
      </w:r>
      <w:r w:rsidRPr="009E5C2D">
        <w:t>ervice commitment to customers in line with the Group’s social purpose (for which the Group has a</w:t>
      </w:r>
      <w:r w:rsidR="00BF1FE8">
        <w:t>n averse risk statement)</w:t>
      </w:r>
      <w:r w:rsidR="006374CB">
        <w:rPr>
          <w:rStyle w:val="FootnoteReference"/>
        </w:rPr>
        <w:footnoteReference w:id="52"/>
      </w:r>
      <w:r w:rsidR="00BF1FE8">
        <w:t>;</w:t>
      </w:r>
    </w:p>
    <w:p w14:paraId="298D2E72" w14:textId="77777777" w:rsidR="00754386" w:rsidRDefault="009E5C2D" w:rsidP="00B66C3D">
      <w:pPr>
        <w:pStyle w:val="ListParagraph"/>
        <w:numPr>
          <w:ilvl w:val="0"/>
          <w:numId w:val="12"/>
        </w:numPr>
        <w:tabs>
          <w:tab w:val="left" w:pos="993"/>
        </w:tabs>
        <w:spacing w:after="160" w:line="259" w:lineRule="auto"/>
        <w:ind w:left="1800"/>
        <w:jc w:val="both"/>
      </w:pPr>
      <w:r w:rsidRPr="009E5C2D">
        <w:t xml:space="preserve">a matter which could risk disruption to the credit facility </w:t>
      </w:r>
      <w:r w:rsidRPr="00563160">
        <w:t xml:space="preserve">(averse risk appetite – </w:t>
      </w:r>
      <w:r>
        <w:t>the Company</w:t>
      </w:r>
      <w:r w:rsidRPr="00563160">
        <w:t xml:space="preserve"> is to ensure loan remains below £950m with maintenance of £200m</w:t>
      </w:r>
      <w:r w:rsidRPr="00563160">
        <w:rPr>
          <w:spacing w:val="-16"/>
        </w:rPr>
        <w:t xml:space="preserve"> </w:t>
      </w:r>
      <w:r w:rsidRPr="00563160">
        <w:t>headroom)</w:t>
      </w:r>
      <w:r w:rsidR="006374CB">
        <w:rPr>
          <w:rStyle w:val="FootnoteReference"/>
        </w:rPr>
        <w:footnoteReference w:id="53"/>
      </w:r>
      <w:r w:rsidR="00BF1FE8">
        <w:t>;</w:t>
      </w:r>
      <w:r w:rsidRPr="009E5C2D">
        <w:t xml:space="preserve"> or </w:t>
      </w:r>
    </w:p>
    <w:p w14:paraId="6909F89F" w14:textId="29868AF2" w:rsidR="006F5A3F" w:rsidRPr="002C3E0F" w:rsidRDefault="009E5C2D" w:rsidP="00B66C3D">
      <w:pPr>
        <w:pStyle w:val="ListParagraph"/>
        <w:numPr>
          <w:ilvl w:val="0"/>
          <w:numId w:val="12"/>
        </w:numPr>
        <w:tabs>
          <w:tab w:val="left" w:pos="993"/>
        </w:tabs>
        <w:spacing w:line="259" w:lineRule="auto"/>
        <w:ind w:left="1800"/>
        <w:jc w:val="both"/>
      </w:pPr>
      <w:r w:rsidRPr="006E78B5">
        <w:t xml:space="preserve">a matter where there is realistic possibility of </w:t>
      </w:r>
      <w:r w:rsidR="003B183C">
        <w:t>Comp</w:t>
      </w:r>
      <w:r w:rsidR="00727EAA">
        <w:t>etition and</w:t>
      </w:r>
      <w:r w:rsidR="003B183C">
        <w:t xml:space="preserve"> Markets Authority</w:t>
      </w:r>
      <w:r w:rsidRPr="00754386">
        <w:rPr>
          <w:spacing w:val="-7"/>
        </w:rPr>
        <w:t xml:space="preserve"> </w:t>
      </w:r>
      <w:r w:rsidR="00BF1FE8">
        <w:t>intervention</w:t>
      </w:r>
      <w:r w:rsidR="002C7524">
        <w:rPr>
          <w:rStyle w:val="FootnoteReference"/>
        </w:rPr>
        <w:footnoteReference w:id="54"/>
      </w:r>
      <w:r w:rsidR="00BF1FE8">
        <w:t>.</w:t>
      </w:r>
    </w:p>
    <w:p w14:paraId="6F35E419" w14:textId="42E80129" w:rsidR="00710170" w:rsidRPr="0076402B" w:rsidRDefault="00710170" w:rsidP="0060790E">
      <w:pPr>
        <w:ind w:left="709" w:right="-514"/>
        <w:rPr>
          <w:b/>
          <w:i/>
          <w:sz w:val="12"/>
          <w:szCs w:val="12"/>
        </w:rPr>
      </w:pPr>
    </w:p>
    <w:p w14:paraId="3E462F25" w14:textId="77777777" w:rsidR="00B37360" w:rsidRDefault="00B37360" w:rsidP="0060790E">
      <w:pPr>
        <w:ind w:left="709" w:right="-514"/>
        <w:rPr>
          <w:b/>
          <w:i/>
        </w:rPr>
      </w:pPr>
    </w:p>
    <w:p w14:paraId="59815CDC" w14:textId="446D4327" w:rsidR="009C0C61" w:rsidRDefault="009C0C61" w:rsidP="0060790E">
      <w:pPr>
        <w:ind w:left="709" w:right="-514"/>
        <w:rPr>
          <w:b/>
          <w:i/>
        </w:rPr>
      </w:pPr>
    </w:p>
    <w:p w14:paraId="7DF0C163" w14:textId="77777777" w:rsidR="00577AFB" w:rsidRPr="0060790E" w:rsidRDefault="00577AFB" w:rsidP="0060790E">
      <w:pPr>
        <w:ind w:left="709" w:right="-514"/>
        <w:rPr>
          <w:b/>
          <w:i/>
        </w:rPr>
      </w:pPr>
    </w:p>
    <w:p w14:paraId="0B3F69C0" w14:textId="2EB5F7C6" w:rsidR="0060790E" w:rsidRPr="005C2037" w:rsidRDefault="0060790E" w:rsidP="0076402B">
      <w:pPr>
        <w:widowControl w:val="0"/>
        <w:spacing w:line="240" w:lineRule="auto"/>
        <w:ind w:right="95" w:firstLine="720"/>
        <w:jc w:val="both"/>
        <w:rPr>
          <w:rFonts w:eastAsia="Verdana" w:cs="Verdana"/>
        </w:rPr>
      </w:pPr>
    </w:p>
    <w:sectPr w:rsidR="0060790E" w:rsidRPr="005C2037" w:rsidSect="000D493D">
      <w:headerReference w:type="even" r:id="rId11"/>
      <w:headerReference w:type="default" r:id="rId12"/>
      <w:footerReference w:type="default" r:id="rId13"/>
      <w:headerReference w:type="first" r:id="rId14"/>
      <w:footerReference w:type="first" r:id="rId15"/>
      <w:pgSz w:w="11906" w:h="16838"/>
      <w:pgMar w:top="156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B8E7" w14:textId="77777777" w:rsidR="0048517D" w:rsidRDefault="0048517D" w:rsidP="001218BA">
      <w:pPr>
        <w:spacing w:line="240" w:lineRule="auto"/>
      </w:pPr>
      <w:r>
        <w:separator/>
      </w:r>
    </w:p>
  </w:endnote>
  <w:endnote w:type="continuationSeparator" w:id="0">
    <w:p w14:paraId="31B22730" w14:textId="77777777" w:rsidR="0048517D" w:rsidRDefault="0048517D" w:rsidP="001218BA">
      <w:pPr>
        <w:spacing w:line="240" w:lineRule="auto"/>
      </w:pPr>
      <w:r>
        <w:continuationSeparator/>
      </w:r>
    </w:p>
  </w:endnote>
  <w:endnote w:type="continuationNotice" w:id="1">
    <w:p w14:paraId="0BB38140" w14:textId="77777777" w:rsidR="0048517D" w:rsidRDefault="004851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evinLight">
    <w:altName w:val="Courier Ne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721939"/>
      <w:docPartObj>
        <w:docPartGallery w:val="Page Numbers (Bottom of Page)"/>
        <w:docPartUnique/>
      </w:docPartObj>
    </w:sdtPr>
    <w:sdtEndPr>
      <w:rPr>
        <w:noProof/>
        <w:sz w:val="20"/>
        <w:szCs w:val="20"/>
      </w:rPr>
    </w:sdtEndPr>
    <w:sdtContent>
      <w:p w14:paraId="4565C78B" w14:textId="0B0A3BC7" w:rsidR="005B3687" w:rsidRPr="000D493D" w:rsidRDefault="005B3687" w:rsidP="000D493D">
        <w:pPr>
          <w:pStyle w:val="Footer"/>
          <w:rPr>
            <w:sz w:val="20"/>
          </w:rPr>
        </w:pPr>
        <w:r>
          <w:t xml:space="preserve">PUBLIC </w:t>
        </w:r>
        <w:r>
          <w:tab/>
        </w:r>
        <w:r>
          <w:tab/>
        </w:r>
        <w:r w:rsidRPr="000D493D">
          <w:rPr>
            <w:sz w:val="20"/>
          </w:rPr>
          <w:fldChar w:fldCharType="begin"/>
        </w:r>
        <w:r w:rsidRPr="000D493D">
          <w:rPr>
            <w:sz w:val="20"/>
          </w:rPr>
          <w:instrText xml:space="preserve"> PAGE   \* MERGEFORMAT </w:instrText>
        </w:r>
        <w:r w:rsidRPr="000D493D">
          <w:rPr>
            <w:sz w:val="20"/>
          </w:rPr>
          <w:fldChar w:fldCharType="separate"/>
        </w:r>
        <w:r w:rsidR="005C2037">
          <w:rPr>
            <w:noProof/>
            <w:sz w:val="20"/>
          </w:rPr>
          <w:t>12</w:t>
        </w:r>
        <w:r w:rsidRPr="000D493D">
          <w:rPr>
            <w:noProof/>
            <w:sz w:val="20"/>
          </w:rPr>
          <w:fldChar w:fldCharType="end"/>
        </w:r>
      </w:p>
    </w:sdtContent>
  </w:sdt>
  <w:p w14:paraId="0DE4B5B7" w14:textId="77777777" w:rsidR="005B3687" w:rsidRDefault="005B3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14328"/>
      <w:docPartObj>
        <w:docPartGallery w:val="Page Numbers (Bottom of Page)"/>
        <w:docPartUnique/>
      </w:docPartObj>
    </w:sdtPr>
    <w:sdtEndPr>
      <w:rPr>
        <w:noProof/>
        <w:sz w:val="20"/>
        <w:szCs w:val="20"/>
      </w:rPr>
    </w:sdtEndPr>
    <w:sdtContent>
      <w:p w14:paraId="18E35D94" w14:textId="7DB7AEB8" w:rsidR="005B3687" w:rsidRPr="000D493D" w:rsidRDefault="005B3687" w:rsidP="000D493D">
        <w:pPr>
          <w:pStyle w:val="Footer"/>
          <w:rPr>
            <w:sz w:val="20"/>
            <w:szCs w:val="20"/>
          </w:rPr>
        </w:pPr>
        <w:r>
          <w:t xml:space="preserve">PUBLIC </w:t>
        </w:r>
        <w:r>
          <w:tab/>
        </w:r>
        <w:r>
          <w:tab/>
        </w:r>
        <w:r w:rsidRPr="000D493D">
          <w:rPr>
            <w:sz w:val="20"/>
            <w:szCs w:val="20"/>
          </w:rPr>
          <w:fldChar w:fldCharType="begin"/>
        </w:r>
        <w:r w:rsidRPr="000D493D">
          <w:rPr>
            <w:sz w:val="20"/>
            <w:szCs w:val="20"/>
          </w:rPr>
          <w:instrText xml:space="preserve"> PAGE   \* MERGEFORMAT </w:instrText>
        </w:r>
        <w:r w:rsidRPr="000D493D">
          <w:rPr>
            <w:sz w:val="20"/>
            <w:szCs w:val="20"/>
          </w:rPr>
          <w:fldChar w:fldCharType="separate"/>
        </w:r>
        <w:r w:rsidR="005C2037">
          <w:rPr>
            <w:noProof/>
            <w:sz w:val="20"/>
            <w:szCs w:val="20"/>
          </w:rPr>
          <w:t>1</w:t>
        </w:r>
        <w:r w:rsidRPr="000D493D">
          <w:rPr>
            <w:noProof/>
            <w:sz w:val="20"/>
            <w:szCs w:val="20"/>
          </w:rPr>
          <w:fldChar w:fldCharType="end"/>
        </w:r>
      </w:p>
    </w:sdtContent>
  </w:sdt>
  <w:p w14:paraId="42EA3F86" w14:textId="1D8E59E6" w:rsidR="005B3687" w:rsidRDefault="005B3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901F" w14:textId="77777777" w:rsidR="0048517D" w:rsidRDefault="0048517D" w:rsidP="001218BA">
      <w:pPr>
        <w:spacing w:line="240" w:lineRule="auto"/>
      </w:pPr>
      <w:r>
        <w:separator/>
      </w:r>
    </w:p>
  </w:footnote>
  <w:footnote w:type="continuationSeparator" w:id="0">
    <w:p w14:paraId="3A512B78" w14:textId="77777777" w:rsidR="0048517D" w:rsidRDefault="0048517D" w:rsidP="001218BA">
      <w:pPr>
        <w:spacing w:line="240" w:lineRule="auto"/>
      </w:pPr>
      <w:r>
        <w:continuationSeparator/>
      </w:r>
    </w:p>
  </w:footnote>
  <w:footnote w:type="continuationNotice" w:id="1">
    <w:p w14:paraId="51B3D72A" w14:textId="77777777" w:rsidR="0048517D" w:rsidRDefault="0048517D">
      <w:pPr>
        <w:spacing w:line="240" w:lineRule="auto"/>
      </w:pPr>
    </w:p>
  </w:footnote>
  <w:footnote w:id="2">
    <w:p w14:paraId="3BA5E203" w14:textId="48617F2A" w:rsidR="00214860" w:rsidRPr="000329A5" w:rsidRDefault="00214860" w:rsidP="00823BE7">
      <w:pPr>
        <w:pStyle w:val="FootnoteText"/>
        <w:jc w:val="both"/>
        <w:rPr>
          <w:sz w:val="16"/>
          <w:szCs w:val="16"/>
        </w:rPr>
      </w:pPr>
      <w:r w:rsidRPr="000329A5">
        <w:rPr>
          <w:rStyle w:val="FootnoteReference"/>
          <w:sz w:val="16"/>
          <w:szCs w:val="16"/>
        </w:rPr>
        <w:footnoteRef/>
      </w:r>
      <w:r w:rsidRPr="000329A5">
        <w:rPr>
          <w:sz w:val="16"/>
          <w:szCs w:val="16"/>
        </w:rPr>
        <w:t xml:space="preserve"> </w:t>
      </w:r>
      <w:bookmarkStart w:id="0" w:name="_Hlk135668074"/>
      <w:r w:rsidRPr="000329A5">
        <w:rPr>
          <w:sz w:val="16"/>
          <w:szCs w:val="16"/>
        </w:rPr>
        <w:t xml:space="preserve">As required under section </w:t>
      </w:r>
      <w:r w:rsidR="00DD0090">
        <w:rPr>
          <w:sz w:val="16"/>
          <w:szCs w:val="16"/>
        </w:rPr>
        <w:t xml:space="preserve">7 and Annex A </w:t>
      </w:r>
      <w:r w:rsidRPr="000329A5">
        <w:rPr>
          <w:sz w:val="16"/>
          <w:szCs w:val="16"/>
        </w:rPr>
        <w:t xml:space="preserve"> of the </w:t>
      </w:r>
      <w:r w:rsidR="00267B71" w:rsidRPr="00267B71">
        <w:rPr>
          <w:sz w:val="16"/>
          <w:szCs w:val="16"/>
        </w:rPr>
        <w:t>Shareholder Relationship Framework Document</w:t>
      </w:r>
      <w:r w:rsidR="00267B71" w:rsidRPr="00267B71" w:rsidDel="00267B71">
        <w:rPr>
          <w:sz w:val="16"/>
          <w:szCs w:val="16"/>
        </w:rPr>
        <w:t xml:space="preserve"> </w:t>
      </w:r>
      <w:r w:rsidR="00476E06">
        <w:rPr>
          <w:sz w:val="16"/>
          <w:szCs w:val="16"/>
        </w:rPr>
        <w:t xml:space="preserve">(FD) </w:t>
      </w:r>
      <w:r w:rsidRPr="000329A5">
        <w:rPr>
          <w:sz w:val="16"/>
          <w:szCs w:val="16"/>
        </w:rPr>
        <w:t>between Post Office Limited</w:t>
      </w:r>
      <w:r w:rsidR="002B55FA" w:rsidRPr="000329A5">
        <w:rPr>
          <w:sz w:val="16"/>
          <w:szCs w:val="16"/>
        </w:rPr>
        <w:t xml:space="preserve">, </w:t>
      </w:r>
      <w:r w:rsidRPr="000329A5">
        <w:rPr>
          <w:sz w:val="16"/>
          <w:szCs w:val="16"/>
        </w:rPr>
        <w:t xml:space="preserve">the </w:t>
      </w:r>
      <w:r w:rsidR="002B55FA" w:rsidRPr="000329A5">
        <w:rPr>
          <w:sz w:val="16"/>
          <w:szCs w:val="16"/>
        </w:rPr>
        <w:t>Department for Business and Trade (DBT)</w:t>
      </w:r>
      <w:r w:rsidR="00137C21" w:rsidRPr="000329A5">
        <w:rPr>
          <w:sz w:val="16"/>
          <w:szCs w:val="16"/>
        </w:rPr>
        <w:t>,</w:t>
      </w:r>
      <w:r w:rsidRPr="000329A5">
        <w:rPr>
          <w:sz w:val="16"/>
          <w:szCs w:val="16"/>
        </w:rPr>
        <w:t xml:space="preserve"> &amp; UK Government Investments (UKGI)</w:t>
      </w:r>
      <w:r w:rsidR="00267B71">
        <w:rPr>
          <w:sz w:val="16"/>
          <w:szCs w:val="16"/>
        </w:rPr>
        <w:t>.</w:t>
      </w:r>
      <w:r w:rsidRPr="000329A5">
        <w:rPr>
          <w:sz w:val="16"/>
          <w:szCs w:val="16"/>
        </w:rPr>
        <w:t>.</w:t>
      </w:r>
      <w:bookmarkEnd w:id="0"/>
    </w:p>
  </w:footnote>
  <w:footnote w:id="3">
    <w:p w14:paraId="048E930B" w14:textId="0B8C535D" w:rsidR="001A12AE" w:rsidRPr="000329A5" w:rsidRDefault="001A12AE" w:rsidP="00823BE7">
      <w:pPr>
        <w:pStyle w:val="FootnoteText"/>
        <w:jc w:val="both"/>
        <w:rPr>
          <w:sz w:val="16"/>
          <w:szCs w:val="16"/>
        </w:rPr>
      </w:pPr>
      <w:r w:rsidRPr="000329A5">
        <w:rPr>
          <w:rStyle w:val="FootnoteReference"/>
          <w:sz w:val="16"/>
          <w:szCs w:val="16"/>
        </w:rPr>
        <w:footnoteRef/>
      </w:r>
      <w:r w:rsidRPr="000329A5">
        <w:rPr>
          <w:sz w:val="16"/>
          <w:szCs w:val="16"/>
        </w:rPr>
        <w:t xml:space="preserve"> </w:t>
      </w:r>
      <w:r w:rsidR="003C4046" w:rsidRPr="000329A5">
        <w:rPr>
          <w:rFonts w:cs="Arial"/>
          <w:color w:val="222222"/>
          <w:sz w:val="16"/>
          <w:szCs w:val="16"/>
          <w:shd w:val="clear" w:color="auto" w:fill="FFFFFF"/>
        </w:rPr>
        <w:t>DBT</w:t>
      </w:r>
    </w:p>
  </w:footnote>
  <w:footnote w:id="4">
    <w:p w14:paraId="2881E1E8" w14:textId="5F5837E9" w:rsidR="00267FD9" w:rsidRPr="000329A5" w:rsidRDefault="003F4268" w:rsidP="00823BE7">
      <w:pPr>
        <w:pStyle w:val="ListParagraph"/>
        <w:ind w:left="0"/>
        <w:jc w:val="both"/>
        <w:rPr>
          <w:sz w:val="16"/>
          <w:szCs w:val="16"/>
        </w:rPr>
      </w:pPr>
      <w:r w:rsidRPr="000329A5">
        <w:rPr>
          <w:rStyle w:val="FootnoteReference"/>
          <w:sz w:val="16"/>
          <w:szCs w:val="16"/>
        </w:rPr>
        <w:footnoteRef/>
      </w:r>
      <w:r w:rsidR="00267FD9" w:rsidRPr="000329A5">
        <w:rPr>
          <w:sz w:val="16"/>
          <w:szCs w:val="16"/>
        </w:rPr>
        <w:t xml:space="preserve"> The recruitment and appointment process for a director of the Company including engagement terms of external search agents for appointments and formation of interview panel (FD section</w:t>
      </w:r>
      <w:r w:rsidR="00BD0A45">
        <w:rPr>
          <w:sz w:val="16"/>
          <w:szCs w:val="16"/>
        </w:rPr>
        <w:t xml:space="preserve"> 9</w:t>
      </w:r>
      <w:r w:rsidR="00267FD9" w:rsidRPr="000329A5">
        <w:rPr>
          <w:sz w:val="16"/>
          <w:szCs w:val="16"/>
        </w:rPr>
        <w:t xml:space="preserve">) must be approved by the Nominations Committee for recommendation to the Shareholder. This must then be approved by the Shareholder. The interview panel makes a recommendation of appointment at the end of the recruitment process to the Shareholder. </w:t>
      </w:r>
    </w:p>
    <w:p w14:paraId="186BF3CD" w14:textId="5665D4B0" w:rsidR="00267FD9" w:rsidRPr="000329A5" w:rsidRDefault="00267FD9" w:rsidP="00823BE7">
      <w:pPr>
        <w:pStyle w:val="ListParagraph"/>
        <w:ind w:left="0"/>
        <w:jc w:val="both"/>
        <w:rPr>
          <w:sz w:val="16"/>
          <w:szCs w:val="16"/>
        </w:rPr>
      </w:pPr>
      <w:r w:rsidRPr="000329A5">
        <w:rPr>
          <w:sz w:val="16"/>
          <w:szCs w:val="16"/>
        </w:rPr>
        <w:t xml:space="preserve">The Shareholder shall appoint one senior UK Government official as the representative director to the POL Board (FD section </w:t>
      </w:r>
      <w:r w:rsidR="00BD0A45">
        <w:rPr>
          <w:sz w:val="16"/>
          <w:szCs w:val="16"/>
        </w:rPr>
        <w:t xml:space="preserve">9 </w:t>
      </w:r>
      <w:r w:rsidRPr="000329A5">
        <w:rPr>
          <w:sz w:val="16"/>
          <w:szCs w:val="16"/>
        </w:rPr>
        <w:t xml:space="preserve">). </w:t>
      </w:r>
    </w:p>
    <w:p w14:paraId="6B0FE0F7" w14:textId="1B9D451F" w:rsidR="003F4268" w:rsidRPr="000329A5" w:rsidRDefault="00267FD9" w:rsidP="00823BE7">
      <w:pPr>
        <w:pStyle w:val="ListParagraph"/>
        <w:ind w:left="0"/>
        <w:jc w:val="both"/>
        <w:rPr>
          <w:sz w:val="16"/>
          <w:szCs w:val="16"/>
        </w:rPr>
      </w:pPr>
      <w:r w:rsidRPr="000329A5">
        <w:rPr>
          <w:sz w:val="16"/>
          <w:szCs w:val="16"/>
        </w:rPr>
        <w:t xml:space="preserve">The Shareholder shall appoint the Chair of the POL Board (FD section </w:t>
      </w:r>
      <w:r w:rsidR="00BD0A45">
        <w:rPr>
          <w:sz w:val="16"/>
          <w:szCs w:val="16"/>
        </w:rPr>
        <w:t xml:space="preserve">9 </w:t>
      </w:r>
      <w:r w:rsidRPr="000329A5">
        <w:rPr>
          <w:sz w:val="16"/>
          <w:szCs w:val="16"/>
        </w:rPr>
        <w:t xml:space="preserve">). </w:t>
      </w:r>
      <w:r w:rsidRPr="000329A5">
        <w:rPr>
          <w:rFonts w:eastAsiaTheme="minorHAnsi" w:cstheme="minorBidi"/>
          <w:sz w:val="16"/>
          <w:szCs w:val="16"/>
        </w:rPr>
        <w:t xml:space="preserve">This appointment is a public appointment and must follow the rules set out in the </w:t>
      </w:r>
      <w:r w:rsidRPr="000329A5">
        <w:rPr>
          <w:rFonts w:eastAsiaTheme="minorHAnsi" w:cstheme="minorBidi"/>
          <w:i/>
          <w:sz w:val="16"/>
          <w:szCs w:val="16"/>
        </w:rPr>
        <w:t>Governance Code on Public Appointments</w:t>
      </w:r>
      <w:r w:rsidRPr="000329A5">
        <w:rPr>
          <w:rFonts w:eastAsiaTheme="minorHAnsi" w:cstheme="minorBidi"/>
          <w:sz w:val="16"/>
          <w:szCs w:val="16"/>
        </w:rPr>
        <w:t>.</w:t>
      </w:r>
    </w:p>
  </w:footnote>
  <w:footnote w:id="5">
    <w:p w14:paraId="66861084" w14:textId="2F5E75FC" w:rsidR="00CA1608" w:rsidRPr="000329A5" w:rsidRDefault="00CA1608" w:rsidP="00823BE7">
      <w:pPr>
        <w:pStyle w:val="FootnoteText"/>
        <w:jc w:val="both"/>
        <w:rPr>
          <w:sz w:val="16"/>
          <w:szCs w:val="16"/>
        </w:rPr>
      </w:pPr>
      <w:r w:rsidRPr="000329A5">
        <w:rPr>
          <w:rStyle w:val="FootnoteReference"/>
          <w:sz w:val="16"/>
          <w:szCs w:val="16"/>
        </w:rPr>
        <w:footnoteRef/>
      </w:r>
      <w:r w:rsidRPr="000329A5">
        <w:rPr>
          <w:sz w:val="16"/>
          <w:szCs w:val="16"/>
        </w:rPr>
        <w:t xml:space="preserve"> Encompassing: salary, share options, bonuses (including long-term and short-term incentive plans), benefits in kind and pension rights. Exit packages outside the Group policies and procedures will also require approval.  </w:t>
      </w:r>
    </w:p>
  </w:footnote>
  <w:footnote w:id="6">
    <w:p w14:paraId="108E7810" w14:textId="6DB8CADF" w:rsidR="00DD53A4" w:rsidRPr="000329A5" w:rsidRDefault="00DD53A4" w:rsidP="00823BE7">
      <w:pPr>
        <w:pStyle w:val="FootnoteText"/>
        <w:jc w:val="both"/>
        <w:rPr>
          <w:sz w:val="16"/>
          <w:szCs w:val="16"/>
        </w:rPr>
      </w:pPr>
      <w:r w:rsidRPr="000329A5">
        <w:rPr>
          <w:rStyle w:val="FootnoteReference"/>
          <w:sz w:val="16"/>
          <w:szCs w:val="16"/>
        </w:rPr>
        <w:footnoteRef/>
      </w:r>
      <w:r w:rsidRPr="000329A5">
        <w:rPr>
          <w:sz w:val="16"/>
          <w:szCs w:val="16"/>
        </w:rPr>
        <w:t xml:space="preserve"> An associated undertaking is defined an entity over which a company has significant influence but cannot exercise control (pursuant to International Accounting Standard 28) and normally demonstrated by 20-50% shares held. A subsidiary undertaking is defined as </w:t>
      </w:r>
      <w:r w:rsidRPr="000329A5">
        <w:rPr>
          <w:rStyle w:val="legds"/>
          <w:color w:val="000000"/>
          <w:sz w:val="16"/>
          <w:szCs w:val="16"/>
        </w:rPr>
        <w:t>(a) holds a majority of the voting rights in it, (b) or is a member of it and has the right to appoint or remove a majority of its board of directors, or (c) is a member of it and controls alone, pursuant to an agreement with other members, a majority of the voting rights in it (s.1159 CA 2006).</w:t>
      </w:r>
    </w:p>
  </w:footnote>
  <w:footnote w:id="7">
    <w:p w14:paraId="221187CF" w14:textId="77777777" w:rsidR="00DD53A4" w:rsidRPr="000329A5" w:rsidRDefault="00DD53A4" w:rsidP="00823BE7">
      <w:pPr>
        <w:pStyle w:val="FootnoteText"/>
        <w:jc w:val="both"/>
        <w:rPr>
          <w:sz w:val="16"/>
          <w:szCs w:val="16"/>
        </w:rPr>
      </w:pPr>
      <w:r w:rsidRPr="000329A5">
        <w:rPr>
          <w:rStyle w:val="FootnoteReference"/>
          <w:sz w:val="16"/>
          <w:szCs w:val="16"/>
        </w:rPr>
        <w:footnoteRef/>
      </w:r>
      <w:r w:rsidRPr="000329A5">
        <w:rPr>
          <w:sz w:val="16"/>
          <w:szCs w:val="16"/>
        </w:rPr>
        <w:t xml:space="preserve"> This is a factual analysis that must be conducted on a case-by-case basis.</w:t>
      </w:r>
    </w:p>
  </w:footnote>
  <w:footnote w:id="8">
    <w:p w14:paraId="4DA309EF" w14:textId="528E38F5" w:rsidR="00BB1624" w:rsidRDefault="00BB1624" w:rsidP="00823BE7">
      <w:pPr>
        <w:pStyle w:val="FootnoteText"/>
        <w:jc w:val="both"/>
      </w:pPr>
      <w:r w:rsidRPr="000329A5">
        <w:rPr>
          <w:rStyle w:val="FootnoteReference"/>
          <w:sz w:val="16"/>
          <w:szCs w:val="16"/>
        </w:rPr>
        <w:footnoteRef/>
      </w:r>
      <w:r w:rsidRPr="000329A5">
        <w:rPr>
          <w:sz w:val="16"/>
          <w:szCs w:val="16"/>
        </w:rPr>
        <w:t xml:space="preserve"> As previously defined</w:t>
      </w:r>
      <w:r w:rsidRPr="00820C76">
        <w:rPr>
          <w:sz w:val="16"/>
          <w:szCs w:val="16"/>
        </w:rPr>
        <w:t>.</w:t>
      </w:r>
    </w:p>
  </w:footnote>
  <w:footnote w:id="9">
    <w:p w14:paraId="3EB7EE22" w14:textId="62818FAE" w:rsidR="005C785E" w:rsidRDefault="005C785E" w:rsidP="00823BE7">
      <w:pPr>
        <w:pStyle w:val="FootnoteText"/>
        <w:jc w:val="both"/>
      </w:pPr>
      <w:r w:rsidRPr="005C785E">
        <w:rPr>
          <w:rStyle w:val="FootnoteReference"/>
          <w:sz w:val="16"/>
        </w:rPr>
        <w:footnoteRef/>
      </w:r>
      <w:r w:rsidRPr="005C785E">
        <w:rPr>
          <w:sz w:val="16"/>
        </w:rPr>
        <w:t xml:space="preserve"> Subsidiary Company Business Plans require the approval of the Company and Shareholder. </w:t>
      </w:r>
    </w:p>
  </w:footnote>
  <w:footnote w:id="10">
    <w:p w14:paraId="61AF8F74" w14:textId="77777777" w:rsidR="00EB2642" w:rsidRPr="00D87F3C" w:rsidRDefault="00EB2642" w:rsidP="00823BE7">
      <w:pPr>
        <w:pStyle w:val="FootnoteText"/>
        <w:jc w:val="both"/>
        <w:rPr>
          <w:sz w:val="16"/>
          <w:szCs w:val="16"/>
        </w:rPr>
      </w:pPr>
      <w:r w:rsidRPr="00D87F3C">
        <w:rPr>
          <w:rStyle w:val="FootnoteReference"/>
          <w:sz w:val="16"/>
          <w:szCs w:val="16"/>
        </w:rPr>
        <w:footnoteRef/>
      </w:r>
      <w:r w:rsidRPr="00D87F3C">
        <w:rPr>
          <w:sz w:val="16"/>
          <w:szCs w:val="16"/>
        </w:rPr>
        <w:t xml:space="preserve"> Relevant Transaction is </w:t>
      </w:r>
      <w:r>
        <w:rPr>
          <w:sz w:val="16"/>
          <w:szCs w:val="16"/>
        </w:rPr>
        <w:t xml:space="preserve">any transaction which is </w:t>
      </w:r>
      <w:r w:rsidRPr="00D87F3C">
        <w:rPr>
          <w:sz w:val="16"/>
          <w:szCs w:val="16"/>
          <w:u w:val="single"/>
        </w:rPr>
        <w:t>not</w:t>
      </w:r>
      <w:r>
        <w:rPr>
          <w:sz w:val="16"/>
          <w:szCs w:val="16"/>
        </w:rPr>
        <w:t xml:space="preserve"> (i) in the ordinary course of business, (ii) intra-group; or (iii) approved in the Group Strategic Plan (Article 2). </w:t>
      </w:r>
    </w:p>
  </w:footnote>
  <w:footnote w:id="11">
    <w:p w14:paraId="083BE643" w14:textId="77777777" w:rsidR="00EB2642" w:rsidRPr="00D87F3C" w:rsidRDefault="00EB2642" w:rsidP="00823BE7">
      <w:pPr>
        <w:pStyle w:val="FootnoteText"/>
        <w:jc w:val="both"/>
        <w:rPr>
          <w:sz w:val="16"/>
          <w:szCs w:val="16"/>
        </w:rPr>
      </w:pPr>
      <w:r w:rsidRPr="00D87F3C">
        <w:rPr>
          <w:rStyle w:val="FootnoteReference"/>
          <w:sz w:val="16"/>
          <w:szCs w:val="16"/>
        </w:rPr>
        <w:footnoteRef/>
      </w:r>
      <w:r w:rsidRPr="00D87F3C">
        <w:rPr>
          <w:sz w:val="16"/>
          <w:szCs w:val="16"/>
        </w:rPr>
        <w:t xml:space="preserve"> As previously defined</w:t>
      </w:r>
    </w:p>
  </w:footnote>
  <w:footnote w:id="12">
    <w:p w14:paraId="787232FE" w14:textId="77777777" w:rsidR="00EB2642" w:rsidRPr="009A2A40" w:rsidRDefault="00EB2642" w:rsidP="00823BE7">
      <w:pPr>
        <w:pStyle w:val="FootnoteText"/>
        <w:jc w:val="both"/>
        <w:rPr>
          <w:sz w:val="16"/>
          <w:szCs w:val="16"/>
        </w:rPr>
      </w:pPr>
      <w:r w:rsidRPr="009A2A40">
        <w:rPr>
          <w:rStyle w:val="FootnoteReference"/>
          <w:sz w:val="16"/>
          <w:szCs w:val="16"/>
        </w:rPr>
        <w:footnoteRef/>
      </w:r>
      <w:r w:rsidRPr="009A2A40">
        <w:rPr>
          <w:sz w:val="16"/>
          <w:szCs w:val="16"/>
        </w:rPr>
        <w:t xml:space="preserve"> As previously defined</w:t>
      </w:r>
    </w:p>
  </w:footnote>
  <w:footnote w:id="13">
    <w:p w14:paraId="2CD40B49" w14:textId="666101AA" w:rsidR="005D5634" w:rsidRDefault="005D5634" w:rsidP="00823BE7">
      <w:pPr>
        <w:pStyle w:val="FootnoteText"/>
        <w:jc w:val="both"/>
      </w:pPr>
      <w:r w:rsidRPr="005D5634">
        <w:rPr>
          <w:rStyle w:val="FootnoteReference"/>
          <w:sz w:val="16"/>
        </w:rPr>
        <w:footnoteRef/>
      </w:r>
      <w:r w:rsidRPr="005D5634">
        <w:rPr>
          <w:sz w:val="16"/>
        </w:rPr>
        <w:t xml:space="preserve"> Certain matters may be approved by a Board Committee. Please refer to the Delegated Authorities Table. </w:t>
      </w:r>
    </w:p>
  </w:footnote>
  <w:footnote w:id="14">
    <w:p w14:paraId="7299A870" w14:textId="7B71804A" w:rsidR="002E74C4" w:rsidRDefault="002E74C4" w:rsidP="00823BE7">
      <w:pPr>
        <w:pStyle w:val="FootnoteText"/>
        <w:jc w:val="both"/>
      </w:pPr>
      <w:r>
        <w:rPr>
          <w:rStyle w:val="FootnoteReference"/>
        </w:rPr>
        <w:footnoteRef/>
      </w:r>
      <w:r>
        <w:t xml:space="preserve"> </w:t>
      </w:r>
      <w:r>
        <w:rPr>
          <w:sz w:val="16"/>
        </w:rPr>
        <w:t>The Company</w:t>
      </w:r>
      <w:r w:rsidRPr="009B262D">
        <w:rPr>
          <w:sz w:val="16"/>
        </w:rPr>
        <w:t xml:space="preserve"> is required to provide quarterly reports to the Shareholder on the targets and budgets set out in the GSP and </w:t>
      </w:r>
      <w:r w:rsidR="00591790" w:rsidRPr="00591790">
        <w:rPr>
          <w:sz w:val="16"/>
        </w:rPr>
        <w:t>other financial and non-financial performance against the budgets and targets more broadly</w:t>
      </w:r>
      <w:r w:rsidR="00591790">
        <w:rPr>
          <w:sz w:val="16"/>
        </w:rPr>
        <w:t xml:space="preserve"> (FD sections 35 and 36) </w:t>
      </w:r>
      <w:r w:rsidRPr="009B262D">
        <w:rPr>
          <w:sz w:val="16"/>
        </w:rPr>
        <w:t>.</w:t>
      </w:r>
    </w:p>
  </w:footnote>
  <w:footnote w:id="15">
    <w:p w14:paraId="1FEF228E" w14:textId="77777777" w:rsidR="00BF054D" w:rsidRDefault="00BF054D" w:rsidP="00823BE7">
      <w:pPr>
        <w:pStyle w:val="FootnoteText"/>
        <w:jc w:val="both"/>
      </w:pPr>
      <w:r w:rsidRPr="00FA0A53">
        <w:rPr>
          <w:rStyle w:val="FootnoteReference"/>
          <w:sz w:val="16"/>
        </w:rPr>
        <w:footnoteRef/>
      </w:r>
      <w:r w:rsidRPr="00FA0A53">
        <w:rPr>
          <w:sz w:val="16"/>
        </w:rPr>
        <w:t xml:space="preserve"> All other matters require Shareholder consent (see paragraph B above).</w:t>
      </w:r>
    </w:p>
  </w:footnote>
  <w:footnote w:id="16">
    <w:p w14:paraId="17D23543" w14:textId="77777777" w:rsidR="0074555B" w:rsidRDefault="0074555B" w:rsidP="00823BE7">
      <w:pPr>
        <w:pStyle w:val="FootnoteText"/>
        <w:jc w:val="both"/>
      </w:pPr>
      <w:r>
        <w:rPr>
          <w:rStyle w:val="FootnoteReference"/>
        </w:rPr>
        <w:footnoteRef/>
      </w:r>
      <w:r>
        <w:t xml:space="preserve"> </w:t>
      </w:r>
      <w:r w:rsidRPr="00AA15B6">
        <w:rPr>
          <w:sz w:val="16"/>
          <w:szCs w:val="16"/>
        </w:rPr>
        <w:t>Where produced</w:t>
      </w:r>
    </w:p>
  </w:footnote>
  <w:footnote w:id="17">
    <w:p w14:paraId="5A8DF356" w14:textId="27414770" w:rsidR="00112DB9" w:rsidRDefault="00112DB9" w:rsidP="00823BE7">
      <w:pPr>
        <w:pStyle w:val="FootnoteText"/>
        <w:jc w:val="both"/>
      </w:pPr>
      <w:r w:rsidRPr="00112DB9">
        <w:rPr>
          <w:rStyle w:val="FootnoteReference"/>
          <w:sz w:val="16"/>
        </w:rPr>
        <w:footnoteRef/>
      </w:r>
      <w:r w:rsidRPr="00112DB9">
        <w:rPr>
          <w:sz w:val="16"/>
        </w:rPr>
        <w:t xml:space="preserve"> Declaration or payment of any dividend outside of the Group Strategic Plan requires Shareholder consent</w:t>
      </w:r>
      <w:r>
        <w:rPr>
          <w:sz w:val="16"/>
        </w:rPr>
        <w:t xml:space="preserve"> (see paragraph B above)</w:t>
      </w:r>
      <w:r w:rsidRPr="00112DB9">
        <w:rPr>
          <w:sz w:val="16"/>
        </w:rPr>
        <w:t xml:space="preserve">. </w:t>
      </w:r>
      <w:r w:rsidR="00FA0A53">
        <w:rPr>
          <w:sz w:val="16"/>
        </w:rPr>
        <w:t xml:space="preserve">The Company is required to consent declarations of dividends </w:t>
      </w:r>
      <w:r w:rsidR="00FA0A53" w:rsidRPr="00FA0A53">
        <w:rPr>
          <w:i/>
          <w:sz w:val="16"/>
        </w:rPr>
        <w:t>within</w:t>
      </w:r>
      <w:r w:rsidR="00FA0A53">
        <w:rPr>
          <w:sz w:val="16"/>
        </w:rPr>
        <w:t xml:space="preserve"> the Group Strategic Plan for Subsidiary Companies. </w:t>
      </w:r>
    </w:p>
  </w:footnote>
  <w:footnote w:id="18">
    <w:p w14:paraId="5C973BFA" w14:textId="079CD413" w:rsidR="002744BC" w:rsidRPr="00E87B8C" w:rsidRDefault="002744BC" w:rsidP="00823BE7">
      <w:pPr>
        <w:pStyle w:val="FootnoteText"/>
        <w:jc w:val="both"/>
        <w:rPr>
          <w:sz w:val="16"/>
          <w:szCs w:val="16"/>
        </w:rPr>
      </w:pPr>
      <w:r w:rsidRPr="00E87B8C">
        <w:rPr>
          <w:rStyle w:val="FootnoteReference"/>
          <w:sz w:val="16"/>
          <w:szCs w:val="16"/>
        </w:rPr>
        <w:footnoteRef/>
      </w:r>
      <w:r w:rsidRPr="00E87B8C">
        <w:rPr>
          <w:sz w:val="16"/>
          <w:szCs w:val="16"/>
        </w:rPr>
        <w:t xml:space="preserve"> </w:t>
      </w:r>
      <w:r w:rsidR="00C7340C" w:rsidRPr="00E87B8C">
        <w:rPr>
          <w:sz w:val="16"/>
          <w:szCs w:val="16"/>
        </w:rPr>
        <w:t>The Audit, Risk &amp; Compliance Committee has delegated authority for the approval of the risk appetite statements</w:t>
      </w:r>
      <w:r w:rsidR="00E43247">
        <w:rPr>
          <w:sz w:val="16"/>
          <w:szCs w:val="16"/>
        </w:rPr>
        <w:t xml:space="preserve"> for different </w:t>
      </w:r>
      <w:r w:rsidR="001F2C1C">
        <w:rPr>
          <w:sz w:val="16"/>
          <w:szCs w:val="16"/>
        </w:rPr>
        <w:t>risk groupings</w:t>
      </w:r>
      <w:r w:rsidR="009F606A">
        <w:rPr>
          <w:sz w:val="16"/>
          <w:szCs w:val="16"/>
        </w:rPr>
        <w:t xml:space="preserve"> developed under the Risk Policy</w:t>
      </w:r>
      <w:r w:rsidR="00E43247">
        <w:rPr>
          <w:sz w:val="16"/>
          <w:szCs w:val="16"/>
        </w:rPr>
        <w:t xml:space="preserve">. </w:t>
      </w:r>
    </w:p>
  </w:footnote>
  <w:footnote w:id="19">
    <w:p w14:paraId="6C221A9A" w14:textId="6E4D9980" w:rsidR="00E026E0" w:rsidRDefault="00E026E0" w:rsidP="00823BE7">
      <w:pPr>
        <w:pStyle w:val="FootnoteText"/>
        <w:jc w:val="both"/>
      </w:pPr>
      <w:r>
        <w:rPr>
          <w:rStyle w:val="FootnoteReference"/>
        </w:rPr>
        <w:footnoteRef/>
      </w:r>
      <w:r>
        <w:t xml:space="preserve"> </w:t>
      </w:r>
      <w:r w:rsidR="003371F3">
        <w:rPr>
          <w:sz w:val="16"/>
          <w:szCs w:val="16"/>
        </w:rPr>
        <w:t>As per the Risk Policy, t</w:t>
      </w:r>
      <w:r w:rsidRPr="001E68A8">
        <w:rPr>
          <w:sz w:val="16"/>
          <w:szCs w:val="16"/>
        </w:rPr>
        <w:t>he Board shall provide oversight of (and direction</w:t>
      </w:r>
      <w:r>
        <w:rPr>
          <w:sz w:val="16"/>
          <w:szCs w:val="16"/>
        </w:rPr>
        <w:t xml:space="preserve"> on</w:t>
      </w:r>
      <w:r w:rsidRPr="001E68A8">
        <w:rPr>
          <w:sz w:val="16"/>
          <w:szCs w:val="16"/>
        </w:rPr>
        <w:t xml:space="preserve">) the management </w:t>
      </w:r>
      <w:r>
        <w:rPr>
          <w:sz w:val="16"/>
          <w:szCs w:val="16"/>
        </w:rPr>
        <w:t>on</w:t>
      </w:r>
      <w:r w:rsidRPr="001E68A8">
        <w:rPr>
          <w:sz w:val="16"/>
          <w:szCs w:val="16"/>
        </w:rPr>
        <w:t xml:space="preserve"> the </w:t>
      </w:r>
      <w:r w:rsidRPr="001E68A8">
        <w:rPr>
          <w:sz w:val="16"/>
          <w:szCs w:val="16"/>
          <w:u w:val="single"/>
        </w:rPr>
        <w:t>key strategic business risks</w:t>
      </w:r>
      <w:r w:rsidRPr="001E68A8">
        <w:rPr>
          <w:sz w:val="16"/>
          <w:szCs w:val="16"/>
        </w:rPr>
        <w:t xml:space="preserve"> that could threaten the delivery of the Post Office’s strategic objectives, with the </w:t>
      </w:r>
      <w:r>
        <w:rPr>
          <w:sz w:val="16"/>
          <w:szCs w:val="16"/>
        </w:rPr>
        <w:t>Audit, Risk &amp; Compliance Committee</w:t>
      </w:r>
      <w:r w:rsidRPr="001E68A8">
        <w:rPr>
          <w:sz w:val="16"/>
          <w:szCs w:val="16"/>
        </w:rPr>
        <w:t xml:space="preserve"> advising the Board of the key strategic risks it should have regard to.</w:t>
      </w:r>
    </w:p>
  </w:footnote>
  <w:footnote w:id="20">
    <w:p w14:paraId="2D4C19AD" w14:textId="026C34AF" w:rsidR="009F3F92" w:rsidRPr="009F3F92" w:rsidRDefault="009F3F92" w:rsidP="00823BE7">
      <w:pPr>
        <w:pStyle w:val="FootnoteText"/>
        <w:jc w:val="both"/>
        <w:rPr>
          <w:sz w:val="16"/>
          <w:szCs w:val="16"/>
        </w:rPr>
      </w:pPr>
      <w:r w:rsidRPr="009F3F92">
        <w:rPr>
          <w:rStyle w:val="FootnoteReference"/>
          <w:sz w:val="16"/>
          <w:szCs w:val="16"/>
        </w:rPr>
        <w:footnoteRef/>
      </w:r>
      <w:r w:rsidRPr="009F3F92">
        <w:rPr>
          <w:sz w:val="16"/>
          <w:szCs w:val="16"/>
        </w:rPr>
        <w:t xml:space="preserve"> </w:t>
      </w:r>
      <w:r w:rsidRPr="009F3F92">
        <w:rPr>
          <w:color w:val="000000"/>
          <w:sz w:val="16"/>
          <w:szCs w:val="16"/>
        </w:rPr>
        <w:t>See appendix for approvals required for unlimited liabilities and indemnities. There are certain matters where there is a risk of loss or liability or a wider risk which should be escalated to the Board (and, in some instances, the Shareholder). These instances may also come under the matters requiring Shareholder consent.</w:t>
      </w:r>
    </w:p>
  </w:footnote>
  <w:footnote w:id="21">
    <w:p w14:paraId="3E00ED63" w14:textId="311ED759" w:rsidR="00694455" w:rsidRPr="00694455" w:rsidRDefault="00694455" w:rsidP="00823BE7">
      <w:pPr>
        <w:pStyle w:val="FootnoteText"/>
        <w:jc w:val="both"/>
        <w:rPr>
          <w:sz w:val="16"/>
          <w:szCs w:val="16"/>
        </w:rPr>
      </w:pPr>
      <w:r w:rsidRPr="00694455">
        <w:rPr>
          <w:rStyle w:val="FootnoteReference"/>
          <w:sz w:val="16"/>
          <w:szCs w:val="16"/>
        </w:rPr>
        <w:footnoteRef/>
      </w:r>
      <w:r w:rsidRPr="00694455">
        <w:rPr>
          <w:sz w:val="16"/>
          <w:szCs w:val="16"/>
        </w:rPr>
        <w:t xml:space="preserve"> Encompassing: salary, share options, bonuses (including long-term and short-term incentive plans), benefits in kind and pension rights. Exit packages outside the Group policies and procedures will also require approval.  </w:t>
      </w:r>
    </w:p>
  </w:footnote>
  <w:footnote w:id="22">
    <w:p w14:paraId="41F6EB8D" w14:textId="067F8EEB" w:rsidR="002B6A2A" w:rsidRPr="00694455" w:rsidRDefault="002B6A2A" w:rsidP="00823BE7">
      <w:pPr>
        <w:pStyle w:val="FootnoteText"/>
        <w:jc w:val="both"/>
        <w:rPr>
          <w:sz w:val="16"/>
          <w:szCs w:val="16"/>
        </w:rPr>
      </w:pPr>
      <w:r w:rsidRPr="00694455">
        <w:rPr>
          <w:rStyle w:val="FootnoteReference"/>
          <w:sz w:val="16"/>
          <w:szCs w:val="16"/>
        </w:rPr>
        <w:footnoteRef/>
      </w:r>
      <w:r w:rsidRPr="00694455">
        <w:rPr>
          <w:sz w:val="16"/>
          <w:szCs w:val="16"/>
        </w:rPr>
        <w:t xml:space="preserve"> </w:t>
      </w:r>
      <w:r w:rsidR="00F41524" w:rsidRPr="00694455">
        <w:rPr>
          <w:sz w:val="16"/>
          <w:szCs w:val="16"/>
        </w:rPr>
        <w:t xml:space="preserve">Defined as any </w:t>
      </w:r>
      <w:r w:rsidR="00254E50">
        <w:rPr>
          <w:sz w:val="16"/>
          <w:szCs w:val="16"/>
        </w:rPr>
        <w:t xml:space="preserve">member of the Executive </w:t>
      </w:r>
      <w:r w:rsidR="0027191A">
        <w:rPr>
          <w:sz w:val="16"/>
          <w:szCs w:val="16"/>
        </w:rPr>
        <w:t>Team</w:t>
      </w:r>
      <w:r w:rsidRPr="00694455">
        <w:rPr>
          <w:sz w:val="16"/>
          <w:szCs w:val="16"/>
        </w:rPr>
        <w:t>, other than executive directors</w:t>
      </w:r>
      <w:r w:rsidR="00254E50">
        <w:rPr>
          <w:sz w:val="16"/>
          <w:szCs w:val="16"/>
        </w:rPr>
        <w:t>, and employees proposed to carry a salary in excess of £250,000 per annum</w:t>
      </w:r>
      <w:r w:rsidRPr="00694455">
        <w:rPr>
          <w:sz w:val="16"/>
          <w:szCs w:val="16"/>
        </w:rPr>
        <w:t xml:space="preserve">. </w:t>
      </w:r>
    </w:p>
  </w:footnote>
  <w:footnote w:id="23">
    <w:p w14:paraId="0F81FDC9" w14:textId="7176354E" w:rsidR="00A874ED" w:rsidRDefault="00A874ED" w:rsidP="00823BE7">
      <w:pPr>
        <w:pStyle w:val="FootnoteText"/>
        <w:jc w:val="both"/>
      </w:pPr>
      <w:r w:rsidRPr="00694455">
        <w:rPr>
          <w:rStyle w:val="FootnoteReference"/>
          <w:sz w:val="16"/>
          <w:szCs w:val="16"/>
        </w:rPr>
        <w:footnoteRef/>
      </w:r>
      <w:r w:rsidRPr="00694455">
        <w:rPr>
          <w:sz w:val="16"/>
          <w:szCs w:val="16"/>
        </w:rPr>
        <w:t xml:space="preserve"> The Nomination</w:t>
      </w:r>
      <w:r w:rsidR="00EC0D8E">
        <w:rPr>
          <w:sz w:val="16"/>
          <w:szCs w:val="16"/>
        </w:rPr>
        <w:t>s</w:t>
      </w:r>
      <w:r w:rsidRPr="00694455">
        <w:rPr>
          <w:sz w:val="16"/>
          <w:szCs w:val="16"/>
        </w:rPr>
        <w:t xml:space="preserve"> Committee may also approve the nominations for appointment, reappointment or removal of any statutory director who is an employee of the Group to an associated undertaking of the Group and the appointment, </w:t>
      </w:r>
      <w:r w:rsidRPr="00A874ED">
        <w:rPr>
          <w:sz w:val="16"/>
          <w:szCs w:val="16"/>
        </w:rPr>
        <w:t xml:space="preserve">reappointment or removal of the Shareholder Representative to an associated undertaking </w:t>
      </w:r>
    </w:p>
  </w:footnote>
  <w:footnote w:id="24">
    <w:p w14:paraId="6817A5F1" w14:textId="5DA79D2D" w:rsidR="005D5634" w:rsidRPr="002E74C4" w:rsidRDefault="005D5634" w:rsidP="00823BE7">
      <w:pPr>
        <w:pStyle w:val="FootnoteText"/>
        <w:jc w:val="both"/>
        <w:rPr>
          <w:sz w:val="16"/>
          <w:szCs w:val="16"/>
        </w:rPr>
      </w:pPr>
      <w:r w:rsidRPr="004F79F6">
        <w:rPr>
          <w:rStyle w:val="FootnoteReference"/>
          <w:sz w:val="16"/>
          <w:szCs w:val="16"/>
        </w:rPr>
        <w:footnoteRef/>
      </w:r>
      <w:r w:rsidRPr="004F79F6">
        <w:rPr>
          <w:sz w:val="16"/>
          <w:szCs w:val="16"/>
        </w:rPr>
        <w:t xml:space="preserve"> This incorporates the establishment of any profit-sharing, share option, bonus or any other incentive schemes for employees of any Group Company.</w:t>
      </w:r>
    </w:p>
  </w:footnote>
  <w:footnote w:id="25">
    <w:p w14:paraId="551EF6F5" w14:textId="4629ED69" w:rsidR="004F79F6" w:rsidRPr="004F79F6" w:rsidRDefault="004F79F6" w:rsidP="00823BE7">
      <w:pPr>
        <w:pStyle w:val="FootnoteText"/>
        <w:jc w:val="both"/>
        <w:rPr>
          <w:sz w:val="16"/>
          <w:szCs w:val="16"/>
        </w:rPr>
      </w:pPr>
      <w:r w:rsidRPr="004F79F6">
        <w:rPr>
          <w:rStyle w:val="FootnoteReference"/>
          <w:sz w:val="16"/>
          <w:szCs w:val="16"/>
        </w:rPr>
        <w:footnoteRef/>
      </w:r>
      <w:r w:rsidRPr="004F79F6">
        <w:rPr>
          <w:sz w:val="16"/>
          <w:szCs w:val="16"/>
        </w:rPr>
        <w:t xml:space="preserve"> Remuneration of Executive Directors requires Shareholder approval. </w:t>
      </w:r>
    </w:p>
  </w:footnote>
  <w:footnote w:id="26">
    <w:p w14:paraId="2DB0B76E" w14:textId="77777777" w:rsidR="002B6A2A" w:rsidRPr="005D5634" w:rsidRDefault="002B6A2A" w:rsidP="00823BE7">
      <w:pPr>
        <w:pStyle w:val="FootnoteText"/>
        <w:jc w:val="both"/>
        <w:rPr>
          <w:sz w:val="16"/>
          <w:szCs w:val="16"/>
        </w:rPr>
      </w:pPr>
      <w:r w:rsidRPr="004F79F6">
        <w:rPr>
          <w:rStyle w:val="FootnoteReference"/>
          <w:sz w:val="16"/>
          <w:szCs w:val="16"/>
        </w:rPr>
        <w:footnoteRef/>
      </w:r>
      <w:r w:rsidRPr="004F79F6">
        <w:rPr>
          <w:sz w:val="16"/>
          <w:szCs w:val="16"/>
        </w:rPr>
        <w:t xml:space="preserve"> This consists of advisors specifically mentioned in the Group Annual Report &amp; Accounts including but not limited to, the Group’s solicitors, actuary and financial advisors.</w:t>
      </w:r>
    </w:p>
  </w:footnote>
  <w:footnote w:id="27">
    <w:p w14:paraId="2462B768" w14:textId="77777777" w:rsidR="0074555B" w:rsidRPr="00042B24" w:rsidRDefault="0074555B" w:rsidP="00823BE7">
      <w:pPr>
        <w:pStyle w:val="FootnoteText"/>
        <w:jc w:val="both"/>
        <w:rPr>
          <w:sz w:val="16"/>
          <w:szCs w:val="16"/>
        </w:rPr>
      </w:pPr>
      <w:r w:rsidRPr="00042B24">
        <w:rPr>
          <w:rStyle w:val="FootnoteReference"/>
          <w:sz w:val="16"/>
          <w:szCs w:val="16"/>
        </w:rPr>
        <w:footnoteRef/>
      </w:r>
      <w:r w:rsidRPr="00042B24">
        <w:rPr>
          <w:sz w:val="16"/>
          <w:szCs w:val="16"/>
        </w:rPr>
        <w:t xml:space="preserve"> The Company must consider if the Group policy is sufficient or whether additional cover is required.</w:t>
      </w:r>
    </w:p>
  </w:footnote>
  <w:footnote w:id="28">
    <w:p w14:paraId="7A22C8C0" w14:textId="77777777" w:rsidR="0074555B" w:rsidRDefault="0074555B" w:rsidP="00823BE7">
      <w:pPr>
        <w:pStyle w:val="FootnoteText"/>
        <w:jc w:val="both"/>
      </w:pPr>
      <w:r w:rsidRPr="00042B24">
        <w:rPr>
          <w:rStyle w:val="FootnoteReference"/>
          <w:sz w:val="16"/>
          <w:szCs w:val="16"/>
        </w:rPr>
        <w:footnoteRef/>
      </w:r>
      <w:r w:rsidRPr="00042B24">
        <w:rPr>
          <w:sz w:val="16"/>
          <w:szCs w:val="16"/>
        </w:rPr>
        <w:t xml:space="preserve"> Including: Spend Approval Limits, Authorised Signatories, Records of Spend Approvals and Authorised Signatories, Approval of unlimi</w:t>
      </w:r>
      <w:r w:rsidRPr="004F2E77">
        <w:rPr>
          <w:sz w:val="16"/>
        </w:rPr>
        <w:t>ted liabilities and indemnities and Delegated Authorities</w:t>
      </w:r>
    </w:p>
  </w:footnote>
  <w:footnote w:id="29">
    <w:p w14:paraId="2B8A20FA" w14:textId="77777777" w:rsidR="00BB47C8" w:rsidRPr="00FA04C6" w:rsidRDefault="00BB47C8" w:rsidP="00823BE7">
      <w:pPr>
        <w:pStyle w:val="FootnoteText"/>
        <w:jc w:val="both"/>
        <w:rPr>
          <w:sz w:val="16"/>
          <w:szCs w:val="16"/>
        </w:rPr>
      </w:pPr>
      <w:r w:rsidRPr="00FA04C6">
        <w:rPr>
          <w:rStyle w:val="FootnoteReference"/>
          <w:sz w:val="16"/>
          <w:szCs w:val="16"/>
        </w:rPr>
        <w:footnoteRef/>
      </w:r>
      <w:r w:rsidRPr="00FA04C6">
        <w:rPr>
          <w:sz w:val="16"/>
          <w:szCs w:val="16"/>
        </w:rPr>
        <w:t xml:space="preserve"> Review and approval of the Group Key Policy Framework is delegated to the Audit, Risk &amp; Compliance Committee</w:t>
      </w:r>
      <w:r>
        <w:rPr>
          <w:sz w:val="16"/>
          <w:szCs w:val="16"/>
        </w:rPr>
        <w:t xml:space="preserve">. This Committee also has delegated authority to approve the Tax Strategy. Policies may otherwise be approved as outlined in the Group Key Policy Framework. </w:t>
      </w:r>
    </w:p>
  </w:footnote>
  <w:footnote w:id="30">
    <w:p w14:paraId="57BC0D01" w14:textId="59252E0C" w:rsidR="00057E71" w:rsidRPr="00D40132" w:rsidRDefault="00057E71" w:rsidP="00057E71">
      <w:pPr>
        <w:pStyle w:val="FootnoteText"/>
        <w:rPr>
          <w:sz w:val="16"/>
          <w:szCs w:val="16"/>
        </w:rPr>
      </w:pPr>
      <w:r w:rsidRPr="00D40132">
        <w:rPr>
          <w:rStyle w:val="FootnoteReference"/>
          <w:sz w:val="16"/>
          <w:szCs w:val="16"/>
        </w:rPr>
        <w:footnoteRef/>
      </w:r>
      <w:r w:rsidRPr="00D40132">
        <w:rPr>
          <w:sz w:val="16"/>
          <w:szCs w:val="16"/>
        </w:rPr>
        <w:t xml:space="preserve"> This includes any persons holding these positions </w:t>
      </w:r>
      <w:r>
        <w:rPr>
          <w:sz w:val="16"/>
          <w:szCs w:val="16"/>
        </w:rPr>
        <w:t xml:space="preserve">as an alternate or as an </w:t>
      </w:r>
      <w:r w:rsidRPr="00D40132">
        <w:rPr>
          <w:sz w:val="16"/>
          <w:szCs w:val="16"/>
        </w:rPr>
        <w:t xml:space="preserve">interim. </w:t>
      </w:r>
    </w:p>
  </w:footnote>
  <w:footnote w:id="31">
    <w:p w14:paraId="602C44F2" w14:textId="106506C8" w:rsidR="00D40132" w:rsidRDefault="00D40132">
      <w:pPr>
        <w:pStyle w:val="FootnoteText"/>
      </w:pPr>
      <w:r w:rsidRPr="00D40132">
        <w:rPr>
          <w:rStyle w:val="FootnoteReference"/>
          <w:sz w:val="16"/>
          <w:szCs w:val="16"/>
        </w:rPr>
        <w:footnoteRef/>
      </w:r>
      <w:r w:rsidRPr="00D40132">
        <w:rPr>
          <w:sz w:val="16"/>
          <w:szCs w:val="16"/>
        </w:rPr>
        <w:t xml:space="preserve"> This includes electronic circulation and signature. </w:t>
      </w:r>
    </w:p>
  </w:footnote>
  <w:footnote w:id="32">
    <w:p w14:paraId="6F365E00" w14:textId="012E3BEA" w:rsidR="00E22F32" w:rsidRPr="00E22F32" w:rsidRDefault="00E22F32" w:rsidP="00E22F32">
      <w:pPr>
        <w:pStyle w:val="FootnoteText"/>
        <w:jc w:val="both"/>
      </w:pPr>
      <w:r>
        <w:rPr>
          <w:rStyle w:val="FootnoteReference"/>
        </w:rPr>
        <w:footnoteRef/>
      </w:r>
      <w:r>
        <w:t xml:space="preserve"> </w:t>
      </w:r>
      <w:r w:rsidRPr="00E22F32">
        <w:rPr>
          <w:rStyle w:val="normaltextrun"/>
          <w:rFonts w:cs="Calibri"/>
          <w:color w:val="000000"/>
          <w:sz w:val="16"/>
          <w:szCs w:val="16"/>
          <w:shd w:val="clear" w:color="auto" w:fill="FFFFFF"/>
        </w:rPr>
        <w:t>Funding will be considered to be budgeted where it has been scrutinised and approved as part of a business case review in relevant governance fora, for example, the Investment Committee, a newly constituted sub-committee of the Executive.</w:t>
      </w:r>
      <w:r w:rsidRPr="00E22F32">
        <w:rPr>
          <w:rStyle w:val="eop"/>
          <w:rFonts w:cs="Calibri"/>
          <w:color w:val="000000"/>
          <w:sz w:val="16"/>
          <w:szCs w:val="16"/>
          <w:shd w:val="clear" w:color="auto" w:fill="FFFFFF"/>
        </w:rPr>
        <w:t> </w:t>
      </w:r>
    </w:p>
  </w:footnote>
  <w:footnote w:id="33">
    <w:p w14:paraId="423C5D4B" w14:textId="2A4B24A0" w:rsidR="00E22F32" w:rsidRPr="00E22F32" w:rsidRDefault="00E22F32" w:rsidP="00E22F32">
      <w:pPr>
        <w:pStyle w:val="FootnoteText"/>
        <w:jc w:val="both"/>
        <w:rPr>
          <w:sz w:val="16"/>
          <w:szCs w:val="16"/>
        </w:rPr>
      </w:pPr>
      <w:r>
        <w:rPr>
          <w:rStyle w:val="FootnoteReference"/>
        </w:rPr>
        <w:footnoteRef/>
      </w:r>
      <w:r>
        <w:t xml:space="preserve"> </w:t>
      </w:r>
      <w:r w:rsidRPr="00E22F32">
        <w:t> </w:t>
      </w:r>
      <w:r w:rsidRPr="00E22F32">
        <w:rPr>
          <w:sz w:val="16"/>
          <w:szCs w:val="16"/>
        </w:rPr>
        <w:t>The threshold applies to each budgeted spend request or, where relevant, related budgeted spend requests</w:t>
      </w:r>
      <w:r w:rsidR="00D25308">
        <w:rPr>
          <w:sz w:val="16"/>
          <w:szCs w:val="16"/>
        </w:rPr>
        <w:t xml:space="preserve">. </w:t>
      </w:r>
      <w:r w:rsidRPr="00E22F32">
        <w:rPr>
          <w:sz w:val="16"/>
          <w:szCs w:val="16"/>
        </w:rPr>
        <w:t xml:space="preserve"> </w:t>
      </w:r>
      <w:r w:rsidR="00D25308">
        <w:rPr>
          <w:sz w:val="16"/>
          <w:szCs w:val="16"/>
        </w:rPr>
        <w:t xml:space="preserve">In the </w:t>
      </w:r>
      <w:r w:rsidRPr="00E22F32">
        <w:rPr>
          <w:sz w:val="16"/>
          <w:szCs w:val="16"/>
        </w:rPr>
        <w:t xml:space="preserve">case of contract-related approvals, </w:t>
      </w:r>
      <w:r w:rsidR="00D25308">
        <w:rPr>
          <w:sz w:val="16"/>
          <w:szCs w:val="16"/>
        </w:rPr>
        <w:t xml:space="preserve">the threshold applies to the </w:t>
      </w:r>
      <w:r w:rsidRPr="00E22F32">
        <w:rPr>
          <w:sz w:val="16"/>
          <w:szCs w:val="16"/>
        </w:rPr>
        <w:t>total contract value</w:t>
      </w:r>
      <w:r w:rsidR="00D25308">
        <w:rPr>
          <w:sz w:val="16"/>
          <w:szCs w:val="16"/>
        </w:rPr>
        <w:t xml:space="preserve">, with a 20% tolerance for subsequent contract modifications (including where the </w:t>
      </w:r>
      <w:r w:rsidR="00D25308" w:rsidRPr="00D25308">
        <w:rPr>
          <w:sz w:val="16"/>
          <w:szCs w:val="16"/>
        </w:rPr>
        <w:t>modification will take the total contract value over £15</w:t>
      </w:r>
      <w:r w:rsidR="00D25308">
        <w:rPr>
          <w:sz w:val="16"/>
          <w:szCs w:val="16"/>
        </w:rPr>
        <w:t xml:space="preserve">,000,000.) </w:t>
      </w:r>
      <w:r w:rsidRPr="00E22F32">
        <w:rPr>
          <w:sz w:val="16"/>
          <w:szCs w:val="16"/>
        </w:rPr>
        <w:t> </w:t>
      </w:r>
    </w:p>
  </w:footnote>
  <w:footnote w:id="34">
    <w:p w14:paraId="4BB34D88" w14:textId="4C538268" w:rsidR="00E22F32" w:rsidRPr="00E22F32" w:rsidRDefault="00E22F32">
      <w:pPr>
        <w:pStyle w:val="FootnoteText"/>
        <w:rPr>
          <w:sz w:val="16"/>
          <w:szCs w:val="16"/>
        </w:rPr>
      </w:pPr>
      <w:r>
        <w:rPr>
          <w:rStyle w:val="FootnoteReference"/>
        </w:rPr>
        <w:footnoteRef/>
      </w:r>
      <w:r>
        <w:t xml:space="preserve"> </w:t>
      </w:r>
      <w:r w:rsidRPr="00E22F32">
        <w:rPr>
          <w:sz w:val="16"/>
          <w:szCs w:val="16"/>
        </w:rPr>
        <w:t xml:space="preserve">These are direct reports  </w:t>
      </w:r>
      <w:r w:rsidR="00C43BC5">
        <w:rPr>
          <w:sz w:val="16"/>
          <w:szCs w:val="16"/>
        </w:rPr>
        <w:t xml:space="preserve">at </w:t>
      </w:r>
      <w:r w:rsidRPr="00E22F32">
        <w:rPr>
          <w:sz w:val="16"/>
          <w:szCs w:val="16"/>
        </w:rPr>
        <w:t>Grade 4</w:t>
      </w:r>
      <w:r w:rsidR="00CF5AB6">
        <w:rPr>
          <w:sz w:val="16"/>
          <w:szCs w:val="16"/>
        </w:rPr>
        <w:t xml:space="preserve"> and above</w:t>
      </w:r>
      <w:r w:rsidRPr="00E22F32">
        <w:rPr>
          <w:sz w:val="16"/>
          <w:szCs w:val="16"/>
        </w:rPr>
        <w:t xml:space="preserve">.  </w:t>
      </w:r>
    </w:p>
  </w:footnote>
  <w:footnote w:id="35">
    <w:p w14:paraId="182651D4" w14:textId="669A8364" w:rsidR="00710170" w:rsidRPr="00095664" w:rsidRDefault="00710170" w:rsidP="00710170">
      <w:pPr>
        <w:pStyle w:val="Default"/>
        <w:rPr>
          <w:sz w:val="16"/>
          <w:szCs w:val="16"/>
        </w:rPr>
      </w:pPr>
      <w:r w:rsidRPr="002C3E0F">
        <w:rPr>
          <w:rStyle w:val="FootnoteReference"/>
          <w:sz w:val="16"/>
          <w:szCs w:val="16"/>
        </w:rPr>
        <w:footnoteRef/>
      </w:r>
      <w:r w:rsidRPr="002C3E0F">
        <w:rPr>
          <w:sz w:val="16"/>
          <w:szCs w:val="16"/>
        </w:rPr>
        <w:t xml:space="preserve"> The Board authorised the Company Secretariat t</w:t>
      </w:r>
      <w:r w:rsidRPr="006D76CC">
        <w:rPr>
          <w:sz w:val="16"/>
          <w:szCs w:val="18"/>
        </w:rPr>
        <w:t xml:space="preserve">o keep a list of authorised signatories in its meeting on </w:t>
      </w:r>
      <w:r w:rsidR="001D45E1">
        <w:rPr>
          <w:sz w:val="16"/>
          <w:szCs w:val="18"/>
        </w:rPr>
        <w:br/>
      </w:r>
      <w:r w:rsidRPr="006D76CC">
        <w:rPr>
          <w:sz w:val="16"/>
          <w:szCs w:val="18"/>
        </w:rPr>
        <w:t xml:space="preserve">22 </w:t>
      </w:r>
      <w:r w:rsidRPr="00095664">
        <w:rPr>
          <w:sz w:val="16"/>
          <w:szCs w:val="16"/>
        </w:rPr>
        <w:t xml:space="preserve">January 2016 (see minute reference 69 of 2016). </w:t>
      </w:r>
    </w:p>
  </w:footnote>
  <w:footnote w:id="36">
    <w:p w14:paraId="46440EE0" w14:textId="6218213E" w:rsidR="004E2000" w:rsidRDefault="004E2000">
      <w:pPr>
        <w:pStyle w:val="FootnoteText"/>
      </w:pPr>
      <w:r>
        <w:rPr>
          <w:rStyle w:val="FootnoteReference"/>
        </w:rPr>
        <w:footnoteRef/>
      </w:r>
      <w:r>
        <w:t xml:space="preserve"> </w:t>
      </w:r>
      <w:r w:rsidR="0000131B" w:rsidRPr="00D40132">
        <w:rPr>
          <w:sz w:val="16"/>
          <w:szCs w:val="16"/>
        </w:rPr>
        <w:t>This includes any persons holding th</w:t>
      </w:r>
      <w:r w:rsidR="0000131B">
        <w:rPr>
          <w:sz w:val="16"/>
          <w:szCs w:val="16"/>
        </w:rPr>
        <w:t>is</w:t>
      </w:r>
      <w:r w:rsidR="0000131B" w:rsidRPr="00D40132">
        <w:rPr>
          <w:sz w:val="16"/>
          <w:szCs w:val="16"/>
        </w:rPr>
        <w:t xml:space="preserve"> position in the interim.</w:t>
      </w:r>
    </w:p>
  </w:footnote>
  <w:footnote w:id="37">
    <w:p w14:paraId="01278E48" w14:textId="4737C9C2" w:rsidR="00095664" w:rsidRDefault="00095664">
      <w:pPr>
        <w:pStyle w:val="FootnoteText"/>
      </w:pPr>
      <w:r w:rsidRPr="00095664">
        <w:rPr>
          <w:rStyle w:val="FootnoteReference"/>
          <w:sz w:val="16"/>
          <w:szCs w:val="16"/>
        </w:rPr>
        <w:footnoteRef/>
      </w:r>
      <w:r w:rsidRPr="00095664">
        <w:rPr>
          <w:sz w:val="16"/>
          <w:szCs w:val="16"/>
        </w:rPr>
        <w:t xml:space="preserve"> These are executives reporting directly to the Group Chief Executive Officer</w:t>
      </w:r>
      <w:r w:rsidR="00823BE7">
        <w:rPr>
          <w:sz w:val="16"/>
          <w:szCs w:val="16"/>
        </w:rPr>
        <w:t>.</w:t>
      </w:r>
    </w:p>
  </w:footnote>
  <w:footnote w:id="38">
    <w:p w14:paraId="4F520089" w14:textId="6FDA2CAF" w:rsidR="00874978" w:rsidRDefault="00874978">
      <w:pPr>
        <w:pStyle w:val="FootnoteText"/>
      </w:pPr>
      <w:r>
        <w:rPr>
          <w:rStyle w:val="FootnoteReference"/>
        </w:rPr>
        <w:footnoteRef/>
      </w:r>
      <w:r>
        <w:t xml:space="preserve"> </w:t>
      </w:r>
      <w:r w:rsidRPr="00874978">
        <w:rPr>
          <w:sz w:val="16"/>
          <w:szCs w:val="16"/>
        </w:rPr>
        <w:t>Or positions equivalent to this. Authority is given to the role holder where job titles are modified or updated however the scope of the role remains the same. The Company Secretary will determine if it is appropriate to update the authorised signatories list following a change in job titles.</w:t>
      </w:r>
    </w:p>
  </w:footnote>
  <w:footnote w:id="39">
    <w:p w14:paraId="7DA32810" w14:textId="5F71343A" w:rsidR="00D16160" w:rsidRDefault="00D16160">
      <w:pPr>
        <w:pStyle w:val="FootnoteText"/>
      </w:pPr>
      <w:r>
        <w:rPr>
          <w:rStyle w:val="FootnoteReference"/>
        </w:rPr>
        <w:footnoteRef/>
      </w:r>
      <w:r>
        <w:t xml:space="preserve"> </w:t>
      </w:r>
      <w:r w:rsidRPr="00D40132">
        <w:rPr>
          <w:sz w:val="16"/>
          <w:szCs w:val="16"/>
        </w:rPr>
        <w:t>This includes any persons holding th</w:t>
      </w:r>
      <w:r>
        <w:rPr>
          <w:sz w:val="16"/>
          <w:szCs w:val="16"/>
        </w:rPr>
        <w:t>is</w:t>
      </w:r>
      <w:r w:rsidRPr="00D40132">
        <w:rPr>
          <w:sz w:val="16"/>
          <w:szCs w:val="16"/>
        </w:rPr>
        <w:t xml:space="preserve"> position in the interim</w:t>
      </w:r>
      <w:r w:rsidR="000915BC">
        <w:rPr>
          <w:sz w:val="16"/>
          <w:szCs w:val="16"/>
        </w:rPr>
        <w:t xml:space="preserve"> and/or in a combined General Counsel and Company Secretary role</w:t>
      </w:r>
      <w:r w:rsidRPr="00D40132">
        <w:rPr>
          <w:sz w:val="16"/>
          <w:szCs w:val="16"/>
        </w:rPr>
        <w:t>.</w:t>
      </w:r>
    </w:p>
  </w:footnote>
  <w:footnote w:id="40">
    <w:p w14:paraId="3217D730" w14:textId="78198F80" w:rsidR="008139A2" w:rsidRPr="008139A2" w:rsidRDefault="008139A2">
      <w:pPr>
        <w:pStyle w:val="FootnoteText"/>
        <w:rPr>
          <w:sz w:val="16"/>
          <w:szCs w:val="16"/>
        </w:rPr>
      </w:pPr>
      <w:r>
        <w:rPr>
          <w:rStyle w:val="FootnoteReference"/>
        </w:rPr>
        <w:footnoteRef/>
      </w:r>
      <w:r>
        <w:t xml:space="preserve"> </w:t>
      </w:r>
      <w:r w:rsidRPr="008139A2">
        <w:rPr>
          <w:sz w:val="16"/>
          <w:szCs w:val="16"/>
        </w:rPr>
        <w:t>Or positions equivalent to this.</w:t>
      </w:r>
    </w:p>
  </w:footnote>
  <w:footnote w:id="41">
    <w:p w14:paraId="00F0BCF4" w14:textId="077D84AB" w:rsidR="008139A2" w:rsidRDefault="008139A2">
      <w:pPr>
        <w:pStyle w:val="FootnoteText"/>
      </w:pPr>
      <w:r>
        <w:rPr>
          <w:rStyle w:val="FootnoteReference"/>
        </w:rPr>
        <w:footnoteRef/>
      </w:r>
      <w:r>
        <w:t xml:space="preserve"> </w:t>
      </w:r>
      <w:r w:rsidRPr="008139A2">
        <w:rPr>
          <w:sz w:val="16"/>
          <w:szCs w:val="16"/>
        </w:rPr>
        <w:t>Or where any amendments are made within the Post Office house position. This will be determined by the Legal team.</w:t>
      </w:r>
      <w:r w:rsidR="00616B98">
        <w:rPr>
          <w:sz w:val="16"/>
          <w:szCs w:val="16"/>
        </w:rPr>
        <w:t xml:space="preserve"> </w:t>
      </w:r>
      <w:r w:rsidR="00616B98" w:rsidRPr="00616B98">
        <w:rPr>
          <w:sz w:val="16"/>
          <w:szCs w:val="16"/>
        </w:rPr>
        <w:t> Non-standard licences and licences that require stronger/wider obligations or indemnities from Post Office, will go through the contract approval process before signature.</w:t>
      </w:r>
    </w:p>
  </w:footnote>
  <w:footnote w:id="42">
    <w:p w14:paraId="58E6D060" w14:textId="28B7D716" w:rsidR="007D0717" w:rsidRDefault="007D0717">
      <w:pPr>
        <w:pStyle w:val="FootnoteText"/>
      </w:pPr>
      <w:r>
        <w:rPr>
          <w:rStyle w:val="FootnoteReference"/>
        </w:rPr>
        <w:footnoteRef/>
      </w:r>
      <w:r>
        <w:t xml:space="preserve"> </w:t>
      </w:r>
      <w:r w:rsidRPr="007D0717">
        <w:rPr>
          <w:sz w:val="16"/>
          <w:szCs w:val="16"/>
        </w:rPr>
        <w:t>Or positions equivalent to this. Authority is given to the role holder where job titles are modified or updated however the scope of the role remains the same. The Company Secretary will determine if it is appropriate to update the authorised signatories list following a change in job titles.</w:t>
      </w:r>
    </w:p>
  </w:footnote>
  <w:footnote w:id="43">
    <w:p w14:paraId="7CA5CE2C" w14:textId="75119699" w:rsidR="00A14149" w:rsidRDefault="00A14149">
      <w:pPr>
        <w:pStyle w:val="FootnoteText"/>
      </w:pPr>
      <w:r>
        <w:rPr>
          <w:rStyle w:val="FootnoteReference"/>
        </w:rPr>
        <w:footnoteRef/>
      </w:r>
      <w:r w:rsidR="1CB95CCF">
        <w:t xml:space="preserve"> </w:t>
      </w:r>
      <w:r w:rsidR="1CB95CCF" w:rsidRPr="00A14149">
        <w:rPr>
          <w:sz w:val="16"/>
          <w:szCs w:val="16"/>
        </w:rPr>
        <w:t xml:space="preserve">Or positions equivalent to this. </w:t>
      </w:r>
      <w:r w:rsidR="1CB95CCF" w:rsidRPr="1CB95CCF">
        <w:rPr>
          <w:sz w:val="16"/>
          <w:szCs w:val="16"/>
        </w:rPr>
        <w:t>Authority is given to the role holder where job titles are modified or updated however the scope of the role remains the same. The Company Secretary will determine if it is appropriate to update the authorised signatories list following a change in job titles.</w:t>
      </w:r>
    </w:p>
    <w:p w14:paraId="03258CF9" w14:textId="73CE5974" w:rsidR="00A14149" w:rsidRDefault="00A14149" w:rsidP="1CB95CCF">
      <w:pPr>
        <w:pStyle w:val="FootnoteText"/>
        <w:rPr>
          <w:sz w:val="16"/>
          <w:szCs w:val="16"/>
        </w:rPr>
      </w:pPr>
    </w:p>
  </w:footnote>
  <w:footnote w:id="44">
    <w:p w14:paraId="288848D0" w14:textId="3183652D" w:rsidR="00D71830" w:rsidRDefault="00D71830">
      <w:pPr>
        <w:pStyle w:val="FootnoteText"/>
      </w:pPr>
      <w:r>
        <w:rPr>
          <w:rStyle w:val="FootnoteReference"/>
        </w:rPr>
        <w:footnoteRef/>
      </w:r>
      <w:r>
        <w:t xml:space="preserve"> </w:t>
      </w:r>
      <w:r w:rsidRPr="00D71830">
        <w:rPr>
          <w:sz w:val="16"/>
          <w:szCs w:val="16"/>
        </w:rPr>
        <w:t>The termination of contracts, whereby exiting or ending the agreement does not trigger any liabilities nor additional costs, are exempted from requiring an eCAF and may be signed by the Procurement Director. Termination outside of these parameters (for example, where early exit fees apply) will be subject to the contract approval process.</w:t>
      </w:r>
    </w:p>
  </w:footnote>
  <w:footnote w:id="45">
    <w:p w14:paraId="6620BCBA" w14:textId="2FAC07D7" w:rsidR="1CB95CCF" w:rsidRDefault="1CB95CCF" w:rsidP="00064675">
      <w:pPr>
        <w:pStyle w:val="FootnoteText"/>
      </w:pPr>
      <w:r w:rsidRPr="1CB95CCF">
        <w:rPr>
          <w:rStyle w:val="FootnoteReference"/>
          <w:sz w:val="16"/>
          <w:szCs w:val="16"/>
        </w:rPr>
        <w:footnoteRef/>
      </w:r>
      <w:r w:rsidRPr="00064675">
        <w:rPr>
          <w:sz w:val="16"/>
          <w:szCs w:val="16"/>
        </w:rPr>
        <w:t xml:space="preserve"> O</w:t>
      </w:r>
      <w:r w:rsidRPr="1CB95CCF">
        <w:rPr>
          <w:sz w:val="16"/>
          <w:szCs w:val="16"/>
        </w:rPr>
        <w:t>r positions equivalent to this. Authority is given to the role holder where job titles are modified or updated however the scope of the role remains the same. The Company Secretary will determine if it is appropriate to update the authorised signatories list following a change in job titles.</w:t>
      </w:r>
    </w:p>
    <w:p w14:paraId="73805E60" w14:textId="6208184C" w:rsidR="1CB95CCF" w:rsidRDefault="1CB95CCF" w:rsidP="1CB95CCF">
      <w:pPr>
        <w:pStyle w:val="FootnoteText"/>
      </w:pPr>
    </w:p>
  </w:footnote>
  <w:footnote w:id="46">
    <w:p w14:paraId="555B4E82" w14:textId="6EBD992D" w:rsidR="1CB95CCF" w:rsidRPr="00064675" w:rsidRDefault="1CB95CCF" w:rsidP="1CB95CCF">
      <w:pPr>
        <w:rPr>
          <w:sz w:val="16"/>
          <w:szCs w:val="16"/>
        </w:rPr>
      </w:pPr>
      <w:r w:rsidRPr="1CB95CCF">
        <w:rPr>
          <w:rStyle w:val="FootnoteReference"/>
          <w:sz w:val="16"/>
          <w:szCs w:val="16"/>
        </w:rPr>
        <w:footnoteRef/>
      </w:r>
      <w:r w:rsidRPr="00064675">
        <w:rPr>
          <w:sz w:val="16"/>
          <w:szCs w:val="16"/>
        </w:rPr>
        <w:t xml:space="preserve"> POL’s Contract Execution Policy sets out the documents, contracts and other commitments that are not required to be processed through the Contract Approval Framework.</w:t>
      </w:r>
    </w:p>
  </w:footnote>
  <w:footnote w:id="47">
    <w:p w14:paraId="347E081D" w14:textId="744A7E62" w:rsidR="00167A71" w:rsidRPr="00BF1FE8" w:rsidRDefault="00167A71">
      <w:pPr>
        <w:pStyle w:val="FootnoteText"/>
        <w:rPr>
          <w:sz w:val="16"/>
          <w:szCs w:val="16"/>
        </w:rPr>
      </w:pPr>
      <w:r w:rsidRPr="00BF1FE8">
        <w:rPr>
          <w:rStyle w:val="FootnoteReference"/>
          <w:sz w:val="16"/>
          <w:szCs w:val="16"/>
        </w:rPr>
        <w:footnoteRef/>
      </w:r>
      <w:r w:rsidRPr="00BF1FE8">
        <w:rPr>
          <w:sz w:val="16"/>
          <w:szCs w:val="16"/>
        </w:rPr>
        <w:t xml:space="preserve"> This approach was approved by the Board on </w:t>
      </w:r>
      <w:r w:rsidR="000A6BD2">
        <w:rPr>
          <w:sz w:val="16"/>
          <w:szCs w:val="16"/>
        </w:rPr>
        <w:t>28</w:t>
      </w:r>
      <w:r w:rsidRPr="00BF1FE8">
        <w:rPr>
          <w:sz w:val="16"/>
          <w:szCs w:val="16"/>
        </w:rPr>
        <w:t xml:space="preserve"> </w:t>
      </w:r>
      <w:r w:rsidR="000A6BD2">
        <w:rPr>
          <w:sz w:val="16"/>
          <w:szCs w:val="16"/>
        </w:rPr>
        <w:t>September</w:t>
      </w:r>
      <w:r w:rsidRPr="00BF1FE8">
        <w:rPr>
          <w:sz w:val="16"/>
          <w:szCs w:val="16"/>
        </w:rPr>
        <w:t xml:space="preserve"> </w:t>
      </w:r>
      <w:r w:rsidR="000A6BD2">
        <w:rPr>
          <w:sz w:val="16"/>
          <w:szCs w:val="16"/>
        </w:rPr>
        <w:t>2022</w:t>
      </w:r>
      <w:r w:rsidRPr="00BF1FE8">
        <w:rPr>
          <w:sz w:val="16"/>
          <w:szCs w:val="16"/>
        </w:rPr>
        <w:t xml:space="preserve">. </w:t>
      </w:r>
    </w:p>
  </w:footnote>
  <w:footnote w:id="48">
    <w:p w14:paraId="2191D353" w14:textId="5C6E70FE" w:rsidR="0011786B" w:rsidRDefault="0011786B">
      <w:pPr>
        <w:pStyle w:val="FootnoteText"/>
      </w:pPr>
      <w:r>
        <w:rPr>
          <w:rStyle w:val="FootnoteReference"/>
        </w:rPr>
        <w:footnoteRef/>
      </w:r>
      <w:r>
        <w:t xml:space="preserve"> </w:t>
      </w:r>
      <w:r w:rsidR="00FA5B60" w:rsidRPr="00F95888">
        <w:rPr>
          <w:sz w:val="16"/>
          <w:szCs w:val="16"/>
        </w:rPr>
        <w:t>A Qualified Legal Counsel (qualified lawyer) is ‘…someone who holds a legal professional qualification which allows them to practice in English and Wales or another jurisdiction. This includes lawyers such as Barristers, CILEX practitioner or Chartered Legal Executive, Northern Ireland, Republic of Ireland and Scottish solicitor’ (SRA, 2021)</w:t>
      </w:r>
      <w:r w:rsidR="00067532" w:rsidRPr="00F95888">
        <w:rPr>
          <w:sz w:val="16"/>
          <w:szCs w:val="16"/>
        </w:rPr>
        <w:t>.</w:t>
      </w:r>
    </w:p>
  </w:footnote>
  <w:footnote w:id="49">
    <w:p w14:paraId="1C52ACB6" w14:textId="2DAFC328" w:rsidR="002C7524" w:rsidRPr="00BF1FE8" w:rsidRDefault="002C7524">
      <w:pPr>
        <w:pStyle w:val="FootnoteText"/>
        <w:rPr>
          <w:sz w:val="16"/>
          <w:szCs w:val="16"/>
        </w:rPr>
      </w:pPr>
      <w:r w:rsidRPr="00BF1FE8">
        <w:rPr>
          <w:rStyle w:val="FootnoteReference"/>
          <w:sz w:val="16"/>
          <w:szCs w:val="16"/>
        </w:rPr>
        <w:footnoteRef/>
      </w:r>
      <w:r w:rsidRPr="00BF1FE8">
        <w:rPr>
          <w:sz w:val="16"/>
          <w:szCs w:val="16"/>
        </w:rPr>
        <w:t xml:space="preserve"> Please consult the matters reserved to the Shareholder consent in paragraph </w:t>
      </w:r>
      <w:r w:rsidRPr="00BF1FE8">
        <w:rPr>
          <w:sz w:val="16"/>
          <w:szCs w:val="16"/>
        </w:rPr>
        <w:fldChar w:fldCharType="begin"/>
      </w:r>
      <w:r w:rsidRPr="00BF1FE8">
        <w:rPr>
          <w:sz w:val="16"/>
          <w:szCs w:val="16"/>
        </w:rPr>
        <w:instrText xml:space="preserve"> REF _Ref34036941 \r \h  \* MERGEFORMAT </w:instrText>
      </w:r>
      <w:r w:rsidRPr="00BF1FE8">
        <w:rPr>
          <w:sz w:val="16"/>
          <w:szCs w:val="16"/>
        </w:rPr>
      </w:r>
      <w:r w:rsidRPr="00BF1FE8">
        <w:rPr>
          <w:sz w:val="16"/>
          <w:szCs w:val="16"/>
        </w:rPr>
        <w:fldChar w:fldCharType="separate"/>
      </w:r>
      <w:r w:rsidR="002E74C4" w:rsidRPr="00BF1FE8">
        <w:rPr>
          <w:sz w:val="16"/>
          <w:szCs w:val="16"/>
        </w:rPr>
        <w:t>B</w:t>
      </w:r>
      <w:r w:rsidRPr="00BF1FE8">
        <w:rPr>
          <w:sz w:val="16"/>
          <w:szCs w:val="16"/>
        </w:rPr>
        <w:fldChar w:fldCharType="end"/>
      </w:r>
      <w:r w:rsidRPr="00BF1FE8">
        <w:rPr>
          <w:sz w:val="16"/>
          <w:szCs w:val="16"/>
        </w:rPr>
        <w:t xml:space="preserve"> above.</w:t>
      </w:r>
    </w:p>
  </w:footnote>
  <w:footnote w:id="50">
    <w:p w14:paraId="3DE00D54" w14:textId="65388DEB" w:rsidR="006374CB" w:rsidRPr="00BB33A5" w:rsidRDefault="006374CB">
      <w:pPr>
        <w:pStyle w:val="FootnoteText"/>
        <w:rPr>
          <w:sz w:val="16"/>
          <w:szCs w:val="16"/>
        </w:rPr>
      </w:pPr>
      <w:r w:rsidRPr="00BF1FE8">
        <w:rPr>
          <w:rStyle w:val="FootnoteReference"/>
          <w:sz w:val="16"/>
          <w:szCs w:val="16"/>
        </w:rPr>
        <w:footnoteRef/>
      </w:r>
      <w:r w:rsidRPr="00BF1FE8">
        <w:rPr>
          <w:sz w:val="16"/>
          <w:szCs w:val="16"/>
        </w:rPr>
        <w:t xml:space="preserve"> See also Article 8.1 (AA) &amp; (X)</w:t>
      </w:r>
    </w:p>
  </w:footnote>
  <w:footnote w:id="51">
    <w:p w14:paraId="6D171EBD" w14:textId="6288A47D" w:rsidR="006374CB" w:rsidRPr="00BB33A5" w:rsidRDefault="006374CB">
      <w:pPr>
        <w:pStyle w:val="FootnoteText"/>
        <w:rPr>
          <w:sz w:val="16"/>
          <w:szCs w:val="16"/>
        </w:rPr>
      </w:pPr>
      <w:r w:rsidRPr="00BB33A5">
        <w:rPr>
          <w:rStyle w:val="FootnoteReference"/>
          <w:sz w:val="16"/>
          <w:szCs w:val="16"/>
        </w:rPr>
        <w:footnoteRef/>
      </w:r>
      <w:r w:rsidRPr="00BB33A5">
        <w:rPr>
          <w:sz w:val="16"/>
          <w:szCs w:val="16"/>
        </w:rPr>
        <w:t xml:space="preserve"> See also Article 8.1(Z)</w:t>
      </w:r>
    </w:p>
  </w:footnote>
  <w:footnote w:id="52">
    <w:p w14:paraId="27DD2C08" w14:textId="1B416CC8" w:rsidR="006374CB" w:rsidRPr="00BB33A5" w:rsidRDefault="006374CB">
      <w:pPr>
        <w:pStyle w:val="FootnoteText"/>
        <w:rPr>
          <w:sz w:val="16"/>
          <w:szCs w:val="16"/>
        </w:rPr>
      </w:pPr>
      <w:r w:rsidRPr="00BB33A5">
        <w:rPr>
          <w:rStyle w:val="FootnoteReference"/>
          <w:sz w:val="16"/>
          <w:szCs w:val="16"/>
        </w:rPr>
        <w:footnoteRef/>
      </w:r>
      <w:r w:rsidRPr="00BB33A5">
        <w:rPr>
          <w:sz w:val="16"/>
          <w:szCs w:val="16"/>
        </w:rPr>
        <w:t xml:space="preserve"> Subject to Article 8.1(X)</w:t>
      </w:r>
    </w:p>
  </w:footnote>
  <w:footnote w:id="53">
    <w:p w14:paraId="12F10C17" w14:textId="1E0A91AE" w:rsidR="006374CB" w:rsidRPr="00BB33A5" w:rsidRDefault="006374CB">
      <w:pPr>
        <w:pStyle w:val="FootnoteText"/>
        <w:rPr>
          <w:sz w:val="16"/>
          <w:szCs w:val="16"/>
        </w:rPr>
      </w:pPr>
      <w:r w:rsidRPr="00BB33A5">
        <w:rPr>
          <w:rStyle w:val="FootnoteReference"/>
          <w:sz w:val="16"/>
          <w:szCs w:val="16"/>
        </w:rPr>
        <w:footnoteRef/>
      </w:r>
      <w:r w:rsidRPr="00BB33A5">
        <w:rPr>
          <w:sz w:val="16"/>
          <w:szCs w:val="16"/>
        </w:rPr>
        <w:t xml:space="preserve"> </w:t>
      </w:r>
      <w:r w:rsidR="002C7524" w:rsidRPr="00BB33A5">
        <w:rPr>
          <w:sz w:val="16"/>
          <w:szCs w:val="16"/>
        </w:rPr>
        <w:t xml:space="preserve">Refer also </w:t>
      </w:r>
      <w:r w:rsidR="003B183C">
        <w:rPr>
          <w:sz w:val="16"/>
          <w:szCs w:val="16"/>
        </w:rPr>
        <w:t xml:space="preserve">to </w:t>
      </w:r>
      <w:r w:rsidR="002C7524" w:rsidRPr="00BB33A5">
        <w:rPr>
          <w:sz w:val="16"/>
          <w:szCs w:val="16"/>
        </w:rPr>
        <w:t>the Treasury Policy and Article 8.1(AA)</w:t>
      </w:r>
    </w:p>
  </w:footnote>
  <w:footnote w:id="54">
    <w:p w14:paraId="3BE568D8" w14:textId="5A90126C" w:rsidR="002C7524" w:rsidRDefault="002C7524">
      <w:pPr>
        <w:pStyle w:val="FootnoteText"/>
      </w:pPr>
      <w:r w:rsidRPr="00BB33A5">
        <w:rPr>
          <w:rStyle w:val="FootnoteReference"/>
          <w:sz w:val="16"/>
          <w:szCs w:val="16"/>
        </w:rPr>
        <w:footnoteRef/>
      </w:r>
      <w:r w:rsidRPr="00BB33A5">
        <w:rPr>
          <w:sz w:val="16"/>
          <w:szCs w:val="16"/>
        </w:rPr>
        <w:t xml:space="preserve"> See also Article 8.1(Z)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CAC9" w14:textId="3ABDEC5D" w:rsidR="000738C6" w:rsidRDefault="000738C6">
    <w:pPr>
      <w:pStyle w:val="Header"/>
    </w:pPr>
    <w:r>
      <w:rPr>
        <w:noProof/>
      </w:rPr>
      <mc:AlternateContent>
        <mc:Choice Requires="wps">
          <w:drawing>
            <wp:anchor distT="0" distB="0" distL="0" distR="0" simplePos="0" relativeHeight="251659264" behindDoc="0" locked="0" layoutInCell="1" allowOverlap="1" wp14:anchorId="23217DFC" wp14:editId="1B8781AD">
              <wp:simplePos x="635" y="635"/>
              <wp:positionH relativeFrom="page">
                <wp:align>left</wp:align>
              </wp:positionH>
              <wp:positionV relativeFrom="page">
                <wp:align>top</wp:align>
              </wp:positionV>
              <wp:extent cx="2968625" cy="352425"/>
              <wp:effectExtent l="0" t="0" r="3175" b="9525"/>
              <wp:wrapNone/>
              <wp:docPr id="2" name="Text Box 2" descr="Post Office Limited - Document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8625" cy="352425"/>
                      </a:xfrm>
                      <a:prstGeom prst="rect">
                        <a:avLst/>
                      </a:prstGeom>
                      <a:noFill/>
                      <a:ln>
                        <a:noFill/>
                      </a:ln>
                    </wps:spPr>
                    <wps:txbx>
                      <w:txbxContent>
                        <w:p w14:paraId="08B1E30C" w14:textId="2B5FF6B0" w:rsidR="000738C6" w:rsidRPr="000738C6" w:rsidRDefault="000738C6" w:rsidP="000738C6">
                          <w:pPr>
                            <w:rPr>
                              <w:rFonts w:ascii="Calibri" w:eastAsia="Calibri" w:hAnsi="Calibri" w:cs="Calibri"/>
                              <w:noProof/>
                              <w:color w:val="737373"/>
                              <w:sz w:val="20"/>
                              <w:szCs w:val="20"/>
                            </w:rPr>
                          </w:pPr>
                          <w:r w:rsidRPr="000738C6">
                            <w:rPr>
                              <w:rFonts w:ascii="Calibri" w:eastAsia="Calibri" w:hAnsi="Calibri" w:cs="Calibri"/>
                              <w:noProof/>
                              <w:color w:val="737373"/>
                              <w:sz w:val="20"/>
                              <w:szCs w:val="20"/>
                            </w:rPr>
                            <w:t>Post Office Limited - Document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217DFC" id="_x0000_t202" coordsize="21600,21600" o:spt="202" path="m,l,21600r21600,l21600,xe">
              <v:stroke joinstyle="miter"/>
              <v:path gradientshapeok="t" o:connecttype="rect"/>
            </v:shapetype>
            <v:shape id="Text Box 2" o:spid="_x0000_s1026" type="#_x0000_t202" alt="Post Office Limited - Document Classification: PUBLIC" style="position:absolute;margin-left:0;margin-top:0;width:233.75pt;height:27.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" filled="f" stroked="f">
              <v:textbox style="mso-fit-shape-to-text:t" inset="20pt,15pt,0,0">
                <w:txbxContent>
                  <w:p w14:paraId="08B1E30C" w14:textId="2B5FF6B0" w:rsidR="000738C6" w:rsidRPr="000738C6" w:rsidRDefault="000738C6" w:rsidP="000738C6">
                    <w:pPr>
                      <w:rPr>
                        <w:rFonts w:ascii="Calibri" w:eastAsia="Calibri" w:hAnsi="Calibri" w:cs="Calibri"/>
                        <w:noProof/>
                        <w:color w:val="737373"/>
                        <w:sz w:val="20"/>
                        <w:szCs w:val="20"/>
                      </w:rPr>
                    </w:pPr>
                    <w:r w:rsidRPr="000738C6">
                      <w:rPr>
                        <w:rFonts w:ascii="Calibri" w:eastAsia="Calibri" w:hAnsi="Calibri" w:cs="Calibri"/>
                        <w:noProof/>
                        <w:color w:val="737373"/>
                        <w:sz w:val="20"/>
                        <w:szCs w:val="20"/>
                      </w:rPr>
                      <w:t>Post Office Limited - Document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E21F" w14:textId="7EA17DD9" w:rsidR="005B3687" w:rsidRDefault="005B3687" w:rsidP="000D0BA7">
    <w:pPr>
      <w:pStyle w:val="Header"/>
    </w:pPr>
    <w:r>
      <w:t xml:space="preserve">Post Office Limited </w:t>
    </w:r>
  </w:p>
  <w:p w14:paraId="24995AA5" w14:textId="173D089A" w:rsidR="005B3687" w:rsidRPr="000D0BA7" w:rsidRDefault="009B100C" w:rsidP="000D0BA7">
    <w:pPr>
      <w:pStyle w:val="Header"/>
    </w:pPr>
    <w:r>
      <w:t xml:space="preserve">Matters Reserved to the Board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682A" w14:textId="4F4AAB7B" w:rsidR="005B3687" w:rsidRDefault="005B3687" w:rsidP="000D493D">
    <w:pPr>
      <w:tabs>
        <w:tab w:val="left" w:pos="3244"/>
        <w:tab w:val="center" w:pos="4513"/>
      </w:tabs>
      <w:jc w:val="center"/>
      <w:rPr>
        <w:b/>
      </w:rPr>
    </w:pPr>
    <w:r>
      <w:rPr>
        <w:b/>
      </w:rPr>
      <w:t>Post Office Limited</w:t>
    </w:r>
  </w:p>
  <w:p w14:paraId="06563722" w14:textId="717A7913" w:rsidR="0060790E" w:rsidRDefault="0060790E" w:rsidP="000D493D">
    <w:pPr>
      <w:tabs>
        <w:tab w:val="left" w:pos="3244"/>
        <w:tab w:val="center" w:pos="4513"/>
      </w:tabs>
      <w:jc w:val="center"/>
      <w:rPr>
        <w:b/>
      </w:rPr>
    </w:pPr>
    <w:r>
      <w:rPr>
        <w:b/>
      </w:rPr>
      <w:t>(“the Company”)</w:t>
    </w:r>
  </w:p>
  <w:p w14:paraId="7C574733" w14:textId="01557535" w:rsidR="005B3687" w:rsidRDefault="005B3687" w:rsidP="004E272E">
    <w:pPr>
      <w:jc w:val="center"/>
    </w:pPr>
    <w:r>
      <w:rPr>
        <w:b/>
      </w:rPr>
      <w:t>Matters Reserved to the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06"/>
    <w:multiLevelType w:val="hybridMultilevel"/>
    <w:tmpl w:val="A6A0E3F4"/>
    <w:lvl w:ilvl="0" w:tplc="CAA4829C">
      <w:start w:val="5"/>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A62DC"/>
    <w:multiLevelType w:val="hybridMultilevel"/>
    <w:tmpl w:val="A986E7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17E723F"/>
    <w:multiLevelType w:val="hybridMultilevel"/>
    <w:tmpl w:val="6FD0D8E0"/>
    <w:lvl w:ilvl="0" w:tplc="D81673E0">
      <w:start w:val="1"/>
      <w:numFmt w:val="lowerRoman"/>
      <w:lvlText w:val="%1."/>
      <w:lvlJc w:val="left"/>
      <w:pPr>
        <w:ind w:left="1429" w:hanging="360"/>
      </w:pPr>
      <w:rPr>
        <w:rFonts w:ascii="Verdana" w:eastAsiaTheme="minorEastAsia" w:hAnsi="Verdana" w:cs="Times New Roman"/>
        <w:b w:val="0"/>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1DC7F1A"/>
    <w:multiLevelType w:val="hybridMultilevel"/>
    <w:tmpl w:val="A5ECE908"/>
    <w:lvl w:ilvl="0" w:tplc="89A85704">
      <w:start w:val="1"/>
      <w:numFmt w:val="lowerRoman"/>
      <w:lvlText w:val="%1."/>
      <w:lvlJc w:val="right"/>
      <w:pPr>
        <w:ind w:left="1331" w:hanging="360"/>
      </w:pPr>
      <w:rPr>
        <w:b w:val="0"/>
      </w:rPr>
    </w:lvl>
    <w:lvl w:ilvl="1" w:tplc="08090019" w:tentative="1">
      <w:start w:val="1"/>
      <w:numFmt w:val="lowerLetter"/>
      <w:lvlText w:val="%2."/>
      <w:lvlJc w:val="left"/>
      <w:pPr>
        <w:ind w:left="2051" w:hanging="360"/>
      </w:pPr>
    </w:lvl>
    <w:lvl w:ilvl="2" w:tplc="0809001B" w:tentative="1">
      <w:start w:val="1"/>
      <w:numFmt w:val="lowerRoman"/>
      <w:lvlText w:val="%3."/>
      <w:lvlJc w:val="right"/>
      <w:pPr>
        <w:ind w:left="2771" w:hanging="180"/>
      </w:pPr>
    </w:lvl>
    <w:lvl w:ilvl="3" w:tplc="0809000F" w:tentative="1">
      <w:start w:val="1"/>
      <w:numFmt w:val="decimal"/>
      <w:lvlText w:val="%4."/>
      <w:lvlJc w:val="left"/>
      <w:pPr>
        <w:ind w:left="3491" w:hanging="360"/>
      </w:pPr>
    </w:lvl>
    <w:lvl w:ilvl="4" w:tplc="08090019" w:tentative="1">
      <w:start w:val="1"/>
      <w:numFmt w:val="lowerLetter"/>
      <w:lvlText w:val="%5."/>
      <w:lvlJc w:val="left"/>
      <w:pPr>
        <w:ind w:left="4211" w:hanging="360"/>
      </w:pPr>
    </w:lvl>
    <w:lvl w:ilvl="5" w:tplc="0809001B" w:tentative="1">
      <w:start w:val="1"/>
      <w:numFmt w:val="lowerRoman"/>
      <w:lvlText w:val="%6."/>
      <w:lvlJc w:val="right"/>
      <w:pPr>
        <w:ind w:left="4931" w:hanging="180"/>
      </w:pPr>
    </w:lvl>
    <w:lvl w:ilvl="6" w:tplc="0809000F" w:tentative="1">
      <w:start w:val="1"/>
      <w:numFmt w:val="decimal"/>
      <w:lvlText w:val="%7."/>
      <w:lvlJc w:val="left"/>
      <w:pPr>
        <w:ind w:left="5651" w:hanging="360"/>
      </w:pPr>
    </w:lvl>
    <w:lvl w:ilvl="7" w:tplc="08090019" w:tentative="1">
      <w:start w:val="1"/>
      <w:numFmt w:val="lowerLetter"/>
      <w:lvlText w:val="%8."/>
      <w:lvlJc w:val="left"/>
      <w:pPr>
        <w:ind w:left="6371" w:hanging="360"/>
      </w:pPr>
    </w:lvl>
    <w:lvl w:ilvl="8" w:tplc="0809001B" w:tentative="1">
      <w:start w:val="1"/>
      <w:numFmt w:val="lowerRoman"/>
      <w:lvlText w:val="%9."/>
      <w:lvlJc w:val="right"/>
      <w:pPr>
        <w:ind w:left="7091" w:hanging="180"/>
      </w:pPr>
    </w:lvl>
  </w:abstractNum>
  <w:abstractNum w:abstractNumId="4" w15:restartNumberingAfterBreak="0">
    <w:nsid w:val="03FA3287"/>
    <w:multiLevelType w:val="hybridMultilevel"/>
    <w:tmpl w:val="93A80944"/>
    <w:lvl w:ilvl="0" w:tplc="43824BA6">
      <w:start w:val="23"/>
      <w:numFmt w:val="lowerRoman"/>
      <w:lvlText w:val="%1."/>
      <w:lvlJc w:val="left"/>
      <w:pPr>
        <w:ind w:left="1713" w:hanging="720"/>
      </w:pPr>
      <w:rPr>
        <w:rFonts w:hint="default"/>
        <w:b w:val="0"/>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 w15:restartNumberingAfterBreak="0">
    <w:nsid w:val="04DF0933"/>
    <w:multiLevelType w:val="hybridMultilevel"/>
    <w:tmpl w:val="ABF2F870"/>
    <w:lvl w:ilvl="0" w:tplc="74D48DA0">
      <w:start w:val="1"/>
      <w:numFmt w:val="lowerLetter"/>
      <w:lvlText w:val="%1)"/>
      <w:lvlJc w:val="left"/>
      <w:pPr>
        <w:ind w:left="1789" w:hanging="1080"/>
      </w:pPr>
      <w:rPr>
        <w:rFonts w:hint="default"/>
        <w:b w:val="0"/>
        <w:i w:val="0"/>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0C01340C"/>
    <w:multiLevelType w:val="hybridMultilevel"/>
    <w:tmpl w:val="E21835BC"/>
    <w:lvl w:ilvl="0" w:tplc="E2AA5A0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E02D1F"/>
    <w:multiLevelType w:val="hybridMultilevel"/>
    <w:tmpl w:val="C714E200"/>
    <w:lvl w:ilvl="0" w:tplc="8B640E34">
      <w:start w:val="30"/>
      <w:numFmt w:val="lowerRoman"/>
      <w:lvlText w:val="%1."/>
      <w:lvlJc w:val="left"/>
      <w:pPr>
        <w:ind w:left="1713" w:hanging="720"/>
      </w:pPr>
      <w:rPr>
        <w:rFonts w:hint="default"/>
        <w:b w:val="0"/>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8" w15:restartNumberingAfterBreak="0">
    <w:nsid w:val="0DE836BA"/>
    <w:multiLevelType w:val="hybridMultilevel"/>
    <w:tmpl w:val="8228ADC6"/>
    <w:lvl w:ilvl="0" w:tplc="E2AA5A0C">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EFD2BBF"/>
    <w:multiLevelType w:val="hybridMultilevel"/>
    <w:tmpl w:val="E9D08E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09D00E4"/>
    <w:multiLevelType w:val="hybridMultilevel"/>
    <w:tmpl w:val="80523080"/>
    <w:lvl w:ilvl="0" w:tplc="C2C8233A">
      <w:start w:val="1"/>
      <w:numFmt w:val="lowerRoman"/>
      <w:lvlText w:val="%1."/>
      <w:lvlJc w:val="left"/>
      <w:pPr>
        <w:ind w:left="1353" w:hanging="360"/>
      </w:pPr>
      <w:rPr>
        <w:rFonts w:hint="default"/>
        <w:b w:val="0"/>
        <w:i w:val="0"/>
        <w:iCs/>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15C3205F"/>
    <w:multiLevelType w:val="hybridMultilevel"/>
    <w:tmpl w:val="3A7E45C4"/>
    <w:lvl w:ilvl="0" w:tplc="967A5984">
      <w:start w:val="1"/>
      <w:numFmt w:val="bullet"/>
      <w:lvlText w:val="-"/>
      <w:lvlJc w:val="left"/>
      <w:pPr>
        <w:ind w:left="1494" w:hanging="360"/>
      </w:pPr>
      <w:rPr>
        <w:rFonts w:ascii="Verdana" w:eastAsia="Times New Roman" w:hAnsi="Verdana" w:cs="Times New Roman" w:hint="default"/>
        <w:b w:val="0"/>
        <w:sz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15CE4445"/>
    <w:multiLevelType w:val="hybridMultilevel"/>
    <w:tmpl w:val="9D10FA46"/>
    <w:lvl w:ilvl="0" w:tplc="967A5984">
      <w:start w:val="1"/>
      <w:numFmt w:val="bullet"/>
      <w:lvlText w:val="-"/>
      <w:lvlJc w:val="left"/>
      <w:pPr>
        <w:ind w:left="1080" w:hanging="360"/>
      </w:pPr>
      <w:rPr>
        <w:rFonts w:ascii="Verdana" w:eastAsia="Times New Roman" w:hAnsi="Verdana" w:cs="Times New Roman" w:hint="default"/>
        <w:b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60E4AF4"/>
    <w:multiLevelType w:val="hybridMultilevel"/>
    <w:tmpl w:val="9350CD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3820FF"/>
    <w:multiLevelType w:val="hybridMultilevel"/>
    <w:tmpl w:val="60D08A5A"/>
    <w:lvl w:ilvl="0" w:tplc="C2C8233A">
      <w:start w:val="1"/>
      <w:numFmt w:val="lowerRoman"/>
      <w:lvlText w:val="%1."/>
      <w:lvlJc w:val="left"/>
      <w:pPr>
        <w:ind w:left="1515" w:hanging="360"/>
      </w:pPr>
      <w:rPr>
        <w:rFonts w:hint="default"/>
        <w:b w:val="0"/>
      </w:rPr>
    </w:lvl>
    <w:lvl w:ilvl="1" w:tplc="FFFFFFFF" w:tentative="1">
      <w:start w:val="1"/>
      <w:numFmt w:val="lowerLetter"/>
      <w:lvlText w:val="%2."/>
      <w:lvlJc w:val="left"/>
      <w:pPr>
        <w:ind w:left="2235" w:hanging="360"/>
      </w:pPr>
    </w:lvl>
    <w:lvl w:ilvl="2" w:tplc="FFFFFFFF" w:tentative="1">
      <w:start w:val="1"/>
      <w:numFmt w:val="lowerRoman"/>
      <w:lvlText w:val="%3."/>
      <w:lvlJc w:val="right"/>
      <w:pPr>
        <w:ind w:left="2955" w:hanging="180"/>
      </w:pPr>
    </w:lvl>
    <w:lvl w:ilvl="3" w:tplc="FFFFFFFF" w:tentative="1">
      <w:start w:val="1"/>
      <w:numFmt w:val="decimal"/>
      <w:lvlText w:val="%4."/>
      <w:lvlJc w:val="left"/>
      <w:pPr>
        <w:ind w:left="3675" w:hanging="360"/>
      </w:pPr>
    </w:lvl>
    <w:lvl w:ilvl="4" w:tplc="FFFFFFFF" w:tentative="1">
      <w:start w:val="1"/>
      <w:numFmt w:val="lowerLetter"/>
      <w:lvlText w:val="%5."/>
      <w:lvlJc w:val="left"/>
      <w:pPr>
        <w:ind w:left="4395" w:hanging="360"/>
      </w:pPr>
    </w:lvl>
    <w:lvl w:ilvl="5" w:tplc="FFFFFFFF" w:tentative="1">
      <w:start w:val="1"/>
      <w:numFmt w:val="lowerRoman"/>
      <w:lvlText w:val="%6."/>
      <w:lvlJc w:val="right"/>
      <w:pPr>
        <w:ind w:left="5115" w:hanging="180"/>
      </w:pPr>
    </w:lvl>
    <w:lvl w:ilvl="6" w:tplc="FFFFFFFF" w:tentative="1">
      <w:start w:val="1"/>
      <w:numFmt w:val="decimal"/>
      <w:lvlText w:val="%7."/>
      <w:lvlJc w:val="left"/>
      <w:pPr>
        <w:ind w:left="5835" w:hanging="360"/>
      </w:pPr>
    </w:lvl>
    <w:lvl w:ilvl="7" w:tplc="FFFFFFFF" w:tentative="1">
      <w:start w:val="1"/>
      <w:numFmt w:val="lowerLetter"/>
      <w:lvlText w:val="%8."/>
      <w:lvlJc w:val="left"/>
      <w:pPr>
        <w:ind w:left="6555" w:hanging="360"/>
      </w:pPr>
    </w:lvl>
    <w:lvl w:ilvl="8" w:tplc="FFFFFFFF" w:tentative="1">
      <w:start w:val="1"/>
      <w:numFmt w:val="lowerRoman"/>
      <w:lvlText w:val="%9."/>
      <w:lvlJc w:val="right"/>
      <w:pPr>
        <w:ind w:left="7275" w:hanging="180"/>
      </w:pPr>
    </w:lvl>
  </w:abstractNum>
  <w:abstractNum w:abstractNumId="15" w15:restartNumberingAfterBreak="0">
    <w:nsid w:val="1A47402A"/>
    <w:multiLevelType w:val="hybridMultilevel"/>
    <w:tmpl w:val="A82E9FFA"/>
    <w:lvl w:ilvl="0" w:tplc="E036F3F8">
      <w:start w:val="1"/>
      <w:numFmt w:val="lowerRoman"/>
      <w:lvlText w:val="%1."/>
      <w:lvlJc w:val="right"/>
      <w:pPr>
        <w:ind w:left="1515" w:hanging="360"/>
      </w:pPr>
      <w:rPr>
        <w:rFonts w:hint="default"/>
        <w:b w:val="0"/>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16" w15:restartNumberingAfterBreak="0">
    <w:nsid w:val="245C0F5B"/>
    <w:multiLevelType w:val="hybridMultilevel"/>
    <w:tmpl w:val="8CA6546E"/>
    <w:lvl w:ilvl="0" w:tplc="63EE3BB2">
      <w:numFmt w:val="bullet"/>
      <w:lvlText w:val="-"/>
      <w:lvlJc w:val="left"/>
      <w:pPr>
        <w:ind w:left="1211" w:hanging="360"/>
      </w:pPr>
      <w:rPr>
        <w:rFonts w:ascii="Verdana" w:eastAsia="Verdana" w:hAnsi="Verdana" w:cs="Verdana" w:hint="default"/>
        <w:w w:val="99"/>
        <w:sz w:val="22"/>
        <w:szCs w:val="22"/>
        <w:lang w:val="en-GB" w:eastAsia="en-GB" w:bidi="en-GB"/>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26C914AC"/>
    <w:multiLevelType w:val="hybridMultilevel"/>
    <w:tmpl w:val="D5DC0646"/>
    <w:lvl w:ilvl="0" w:tplc="2B8CE1A0">
      <w:start w:val="1"/>
      <w:numFmt w:val="lowerRoman"/>
      <w:lvlText w:val="%1."/>
      <w:lvlJc w:val="left"/>
      <w:pPr>
        <w:ind w:left="2138" w:hanging="720"/>
      </w:pPr>
      <w:rPr>
        <w:rFonts w:ascii="Verdana" w:hAnsi="Verdana" w:hint="default"/>
        <w:b w:val="0"/>
        <w:i w:val="0"/>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7D1267A"/>
    <w:multiLevelType w:val="hybridMultilevel"/>
    <w:tmpl w:val="7AF8029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292B0810"/>
    <w:multiLevelType w:val="hybridMultilevel"/>
    <w:tmpl w:val="E23CA13A"/>
    <w:lvl w:ilvl="0" w:tplc="E2AA5A0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EC019A"/>
    <w:multiLevelType w:val="hybridMultilevel"/>
    <w:tmpl w:val="0CEE51D0"/>
    <w:lvl w:ilvl="0" w:tplc="C2C8233A">
      <w:start w:val="1"/>
      <w:numFmt w:val="lowerRoman"/>
      <w:lvlText w:val="%1."/>
      <w:lvlJc w:val="left"/>
      <w:pPr>
        <w:ind w:left="1353" w:hanging="360"/>
      </w:pPr>
      <w:rPr>
        <w:rFonts w:hint="default"/>
        <w:b w:val="0"/>
        <w:i w:val="0"/>
        <w:i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370324C5"/>
    <w:multiLevelType w:val="hybridMultilevel"/>
    <w:tmpl w:val="978A19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76F6EEB"/>
    <w:multiLevelType w:val="hybridMultilevel"/>
    <w:tmpl w:val="1F30B920"/>
    <w:lvl w:ilvl="0" w:tplc="C2C8233A">
      <w:start w:val="1"/>
      <w:numFmt w:val="lowerRoman"/>
      <w:lvlText w:val="%1."/>
      <w:lvlJc w:val="left"/>
      <w:pPr>
        <w:ind w:left="492" w:hanging="360"/>
      </w:pPr>
      <w:rPr>
        <w:rFonts w:hint="default"/>
        <w:b w:val="0"/>
      </w:rPr>
    </w:lvl>
    <w:lvl w:ilvl="1" w:tplc="0809001B">
      <w:start w:val="1"/>
      <w:numFmt w:val="lowerRoman"/>
      <w:lvlText w:val="%2."/>
      <w:lvlJc w:val="righ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23" w15:restartNumberingAfterBreak="0">
    <w:nsid w:val="38A54C7A"/>
    <w:multiLevelType w:val="hybridMultilevel"/>
    <w:tmpl w:val="515C9044"/>
    <w:lvl w:ilvl="0" w:tplc="2B42EB78">
      <w:start w:val="26"/>
      <w:numFmt w:val="lowerRoman"/>
      <w:lvlText w:val="%1."/>
      <w:lvlJc w:val="left"/>
      <w:pPr>
        <w:ind w:left="1440" w:hanging="720"/>
      </w:pPr>
      <w:rPr>
        <w:rFonts w:hint="default"/>
        <w:b w:val="0"/>
      </w:r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24" w15:restartNumberingAfterBreak="0">
    <w:nsid w:val="3E6B441C"/>
    <w:multiLevelType w:val="hybridMultilevel"/>
    <w:tmpl w:val="73982D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3136D4C"/>
    <w:multiLevelType w:val="hybridMultilevel"/>
    <w:tmpl w:val="9FE0E128"/>
    <w:lvl w:ilvl="0" w:tplc="E2AA5A0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232BF9"/>
    <w:multiLevelType w:val="hybridMultilevel"/>
    <w:tmpl w:val="40C2D5D4"/>
    <w:lvl w:ilvl="0" w:tplc="E2AA5A0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020A69"/>
    <w:multiLevelType w:val="hybridMultilevel"/>
    <w:tmpl w:val="D160D25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6753D0"/>
    <w:multiLevelType w:val="hybridMultilevel"/>
    <w:tmpl w:val="17F676AA"/>
    <w:lvl w:ilvl="0" w:tplc="D81673E0">
      <w:start w:val="1"/>
      <w:numFmt w:val="lowerRoman"/>
      <w:lvlText w:val="%1."/>
      <w:lvlJc w:val="left"/>
      <w:pPr>
        <w:ind w:left="1353" w:hanging="360"/>
      </w:pPr>
      <w:rPr>
        <w:rFonts w:ascii="Verdana" w:eastAsiaTheme="minorEastAsia" w:hAnsi="Verdana" w:cs="Times New Roman"/>
        <w:b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3453E1C"/>
    <w:multiLevelType w:val="hybridMultilevel"/>
    <w:tmpl w:val="F49CBDC2"/>
    <w:lvl w:ilvl="0" w:tplc="E2AA5A0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3E7BE5"/>
    <w:multiLevelType w:val="hybridMultilevel"/>
    <w:tmpl w:val="96E201C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871B2C"/>
    <w:multiLevelType w:val="hybridMultilevel"/>
    <w:tmpl w:val="EC30ABF4"/>
    <w:lvl w:ilvl="0" w:tplc="2B8CE1A0">
      <w:start w:val="1"/>
      <w:numFmt w:val="lowerRoman"/>
      <w:lvlText w:val="%1."/>
      <w:lvlJc w:val="left"/>
      <w:pPr>
        <w:ind w:left="1789" w:hanging="1080"/>
      </w:pPr>
      <w:rPr>
        <w:rFonts w:ascii="Verdana" w:hAnsi="Verdana" w:hint="default"/>
        <w:b w:val="0"/>
        <w:i w:val="0"/>
        <w:iCs w:val="0"/>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5EB7595D"/>
    <w:multiLevelType w:val="hybridMultilevel"/>
    <w:tmpl w:val="3F46B14C"/>
    <w:lvl w:ilvl="0" w:tplc="E2AA5A0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6D61C3"/>
    <w:multiLevelType w:val="hybridMultilevel"/>
    <w:tmpl w:val="A1909C8C"/>
    <w:lvl w:ilvl="0" w:tplc="0809001B">
      <w:start w:val="1"/>
      <w:numFmt w:val="lowerRoman"/>
      <w:lvlText w:val="%1."/>
      <w:lvlJc w:val="right"/>
      <w:pPr>
        <w:ind w:left="1789" w:hanging="1080"/>
      </w:pPr>
      <w:rPr>
        <w:rFonts w:hint="default"/>
        <w:b w:val="0"/>
        <w:i w:val="0"/>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61B0590A"/>
    <w:multiLevelType w:val="hybridMultilevel"/>
    <w:tmpl w:val="295068F2"/>
    <w:lvl w:ilvl="0" w:tplc="3F60BA48">
      <w:start w:val="30"/>
      <w:numFmt w:val="lowerRoman"/>
      <w:lvlText w:val="%1."/>
      <w:lvlJc w:val="left"/>
      <w:pPr>
        <w:ind w:left="1287"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5D53C5"/>
    <w:multiLevelType w:val="hybridMultilevel"/>
    <w:tmpl w:val="F6D4C840"/>
    <w:lvl w:ilvl="0" w:tplc="FFFFFFFF">
      <w:start w:val="1"/>
      <w:numFmt w:val="bullet"/>
      <w:lvlText w:val="-"/>
      <w:lvlJc w:val="left"/>
      <w:pPr>
        <w:ind w:left="1211" w:hanging="360"/>
      </w:pPr>
      <w:rPr>
        <w:rFonts w:ascii="Verdana" w:hAnsi="Verdana" w:hint="default"/>
        <w:w w:val="99"/>
        <w:sz w:val="22"/>
        <w:szCs w:val="22"/>
        <w:lang w:val="en-GB" w:eastAsia="en-GB" w:bidi="en-GB"/>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6" w15:restartNumberingAfterBreak="0">
    <w:nsid w:val="6BD64B0E"/>
    <w:multiLevelType w:val="hybridMultilevel"/>
    <w:tmpl w:val="5AE67EEE"/>
    <w:lvl w:ilvl="0" w:tplc="43824BA6">
      <w:start w:val="23"/>
      <w:numFmt w:val="lowerRoman"/>
      <w:lvlText w:val="%1."/>
      <w:lvlJc w:val="left"/>
      <w:pPr>
        <w:ind w:left="1287" w:hanging="720"/>
      </w:pPr>
      <w:rPr>
        <w:rFonts w:hint="default"/>
        <w:b w:val="0"/>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7" w15:restartNumberingAfterBreak="0">
    <w:nsid w:val="6FA54C39"/>
    <w:multiLevelType w:val="hybridMultilevel"/>
    <w:tmpl w:val="16A2CA6E"/>
    <w:lvl w:ilvl="0" w:tplc="5E2C2F2E">
      <w:start w:val="1"/>
      <w:numFmt w:val="lowerRoman"/>
      <w:lvlText w:val="%1."/>
      <w:lvlJc w:val="right"/>
      <w:pPr>
        <w:ind w:left="1353"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6FC777D"/>
    <w:multiLevelType w:val="hybridMultilevel"/>
    <w:tmpl w:val="CF92C926"/>
    <w:lvl w:ilvl="0" w:tplc="3B7EE402">
      <w:start w:val="1"/>
      <w:numFmt w:val="decimal"/>
      <w:lvlText w:val="%1."/>
      <w:lvlJc w:val="left"/>
      <w:pPr>
        <w:ind w:left="1080" w:hanging="360"/>
      </w:pPr>
      <w:rPr>
        <w:rFonts w:cs="Times New Roman" w:hint="default"/>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857EA37"/>
    <w:multiLevelType w:val="hybridMultilevel"/>
    <w:tmpl w:val="9ACAD7AC"/>
    <w:lvl w:ilvl="0" w:tplc="6A48D0D2">
      <w:start w:val="1"/>
      <w:numFmt w:val="bullet"/>
      <w:lvlText w:val=""/>
      <w:lvlJc w:val="left"/>
      <w:pPr>
        <w:ind w:left="720" w:hanging="360"/>
      </w:pPr>
      <w:rPr>
        <w:rFonts w:ascii="Symbol" w:hAnsi="Symbol" w:hint="default"/>
      </w:rPr>
    </w:lvl>
    <w:lvl w:ilvl="1" w:tplc="C94ABBCC">
      <w:start w:val="1"/>
      <w:numFmt w:val="bullet"/>
      <w:lvlText w:val="o"/>
      <w:lvlJc w:val="left"/>
      <w:pPr>
        <w:ind w:left="1440" w:hanging="360"/>
      </w:pPr>
      <w:rPr>
        <w:rFonts w:ascii="Courier New" w:hAnsi="Courier New" w:hint="default"/>
      </w:rPr>
    </w:lvl>
    <w:lvl w:ilvl="2" w:tplc="FB3CD248">
      <w:start w:val="1"/>
      <w:numFmt w:val="bullet"/>
      <w:lvlText w:val=""/>
      <w:lvlJc w:val="left"/>
      <w:pPr>
        <w:ind w:left="2160" w:hanging="360"/>
      </w:pPr>
      <w:rPr>
        <w:rFonts w:ascii="Wingdings" w:hAnsi="Wingdings" w:hint="default"/>
      </w:rPr>
    </w:lvl>
    <w:lvl w:ilvl="3" w:tplc="CFD0E88C">
      <w:start w:val="1"/>
      <w:numFmt w:val="bullet"/>
      <w:lvlText w:val=""/>
      <w:lvlJc w:val="left"/>
      <w:pPr>
        <w:ind w:left="2880" w:hanging="360"/>
      </w:pPr>
      <w:rPr>
        <w:rFonts w:ascii="Symbol" w:hAnsi="Symbol" w:hint="default"/>
      </w:rPr>
    </w:lvl>
    <w:lvl w:ilvl="4" w:tplc="DF706ECA">
      <w:start w:val="1"/>
      <w:numFmt w:val="bullet"/>
      <w:lvlText w:val="o"/>
      <w:lvlJc w:val="left"/>
      <w:pPr>
        <w:ind w:left="3600" w:hanging="360"/>
      </w:pPr>
      <w:rPr>
        <w:rFonts w:ascii="Courier New" w:hAnsi="Courier New" w:hint="default"/>
      </w:rPr>
    </w:lvl>
    <w:lvl w:ilvl="5" w:tplc="9A2E7538">
      <w:start w:val="1"/>
      <w:numFmt w:val="bullet"/>
      <w:lvlText w:val=""/>
      <w:lvlJc w:val="left"/>
      <w:pPr>
        <w:ind w:left="4320" w:hanging="360"/>
      </w:pPr>
      <w:rPr>
        <w:rFonts w:ascii="Wingdings" w:hAnsi="Wingdings" w:hint="default"/>
      </w:rPr>
    </w:lvl>
    <w:lvl w:ilvl="6" w:tplc="592A1B40">
      <w:start w:val="1"/>
      <w:numFmt w:val="bullet"/>
      <w:lvlText w:val=""/>
      <w:lvlJc w:val="left"/>
      <w:pPr>
        <w:ind w:left="5040" w:hanging="360"/>
      </w:pPr>
      <w:rPr>
        <w:rFonts w:ascii="Symbol" w:hAnsi="Symbol" w:hint="default"/>
      </w:rPr>
    </w:lvl>
    <w:lvl w:ilvl="7" w:tplc="D20EF578">
      <w:start w:val="1"/>
      <w:numFmt w:val="bullet"/>
      <w:lvlText w:val="o"/>
      <w:lvlJc w:val="left"/>
      <w:pPr>
        <w:ind w:left="5760" w:hanging="360"/>
      </w:pPr>
      <w:rPr>
        <w:rFonts w:ascii="Courier New" w:hAnsi="Courier New" w:hint="default"/>
      </w:rPr>
    </w:lvl>
    <w:lvl w:ilvl="8" w:tplc="BC663920">
      <w:start w:val="1"/>
      <w:numFmt w:val="bullet"/>
      <w:lvlText w:val=""/>
      <w:lvlJc w:val="left"/>
      <w:pPr>
        <w:ind w:left="6480" w:hanging="360"/>
      </w:pPr>
      <w:rPr>
        <w:rFonts w:ascii="Wingdings" w:hAnsi="Wingdings" w:hint="default"/>
      </w:rPr>
    </w:lvl>
  </w:abstractNum>
  <w:abstractNum w:abstractNumId="40" w15:restartNumberingAfterBreak="0">
    <w:nsid w:val="785A5B88"/>
    <w:multiLevelType w:val="hybridMultilevel"/>
    <w:tmpl w:val="59A2EE56"/>
    <w:lvl w:ilvl="0" w:tplc="8952B20C">
      <w:start w:val="1"/>
      <w:numFmt w:val="lowerRoman"/>
      <w:pStyle w:val="roman2"/>
      <w:lvlText w:val="(%1)"/>
      <w:lvlJc w:val="left"/>
      <w:pPr>
        <w:tabs>
          <w:tab w:val="num" w:pos="1361"/>
        </w:tabs>
        <w:ind w:left="1361" w:hanging="681"/>
      </w:pPr>
      <w:rPr>
        <w:rFonts w:ascii="Arial" w:hAnsi="Arial" w:hint="default"/>
        <w:b w:val="0"/>
        <w:i w:val="0"/>
        <w:color w:val="FF0000"/>
        <w:sz w:val="20"/>
      </w:rPr>
    </w:lvl>
    <w:lvl w:ilvl="1" w:tplc="24BA5D84">
      <w:numFmt w:val="decimal"/>
      <w:lvlText w:val=""/>
      <w:lvlJc w:val="left"/>
    </w:lvl>
    <w:lvl w:ilvl="2" w:tplc="11D44308">
      <w:numFmt w:val="decimal"/>
      <w:lvlText w:val=""/>
      <w:lvlJc w:val="left"/>
    </w:lvl>
    <w:lvl w:ilvl="3" w:tplc="FA04F82A">
      <w:numFmt w:val="decimal"/>
      <w:lvlText w:val=""/>
      <w:lvlJc w:val="left"/>
    </w:lvl>
    <w:lvl w:ilvl="4" w:tplc="F1841A9A">
      <w:numFmt w:val="decimal"/>
      <w:lvlText w:val=""/>
      <w:lvlJc w:val="left"/>
    </w:lvl>
    <w:lvl w:ilvl="5" w:tplc="F5CA0C6A">
      <w:numFmt w:val="decimal"/>
      <w:lvlText w:val=""/>
      <w:lvlJc w:val="left"/>
    </w:lvl>
    <w:lvl w:ilvl="6" w:tplc="C4AC7798">
      <w:numFmt w:val="decimal"/>
      <w:lvlText w:val=""/>
      <w:lvlJc w:val="left"/>
    </w:lvl>
    <w:lvl w:ilvl="7" w:tplc="86388E90">
      <w:numFmt w:val="decimal"/>
      <w:lvlText w:val=""/>
      <w:lvlJc w:val="left"/>
    </w:lvl>
    <w:lvl w:ilvl="8" w:tplc="A4664510">
      <w:numFmt w:val="decimal"/>
      <w:lvlText w:val=""/>
      <w:lvlJc w:val="left"/>
    </w:lvl>
  </w:abstractNum>
  <w:abstractNum w:abstractNumId="41" w15:restartNumberingAfterBreak="0">
    <w:nsid w:val="78A521A2"/>
    <w:multiLevelType w:val="multilevel"/>
    <w:tmpl w:val="3A0EAF54"/>
    <w:lvl w:ilvl="0">
      <w:start w:val="5"/>
      <w:numFmt w:val="decimal"/>
      <w:lvlText w:val="%1."/>
      <w:lvlJc w:val="left"/>
      <w:pPr>
        <w:ind w:left="375" w:hanging="375"/>
      </w:pPr>
      <w:rPr>
        <w:rFonts w:cs="Arial" w:hint="default"/>
        <w:b w:val="0"/>
        <w:color w:val="000000"/>
      </w:rPr>
    </w:lvl>
    <w:lvl w:ilvl="1">
      <w:start w:val="1"/>
      <w:numFmt w:val="lowerRoman"/>
      <w:lvlText w:val="(%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EDD4413"/>
    <w:multiLevelType w:val="hybridMultilevel"/>
    <w:tmpl w:val="95D0E866"/>
    <w:lvl w:ilvl="0" w:tplc="0809001B">
      <w:start w:val="1"/>
      <w:numFmt w:val="lowerRoman"/>
      <w:lvlText w:val="%1."/>
      <w:lvlJc w:val="right"/>
      <w:pPr>
        <w:ind w:left="928" w:hanging="360"/>
      </w:pPr>
      <w:rPr>
        <w:rFonts w:hint="default"/>
      </w:r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num w:numId="1" w16cid:durableId="813372333">
    <w:abstractNumId w:val="39"/>
  </w:num>
  <w:num w:numId="2" w16cid:durableId="1451510915">
    <w:abstractNumId w:val="27"/>
  </w:num>
  <w:num w:numId="3" w16cid:durableId="1758095039">
    <w:abstractNumId w:val="12"/>
  </w:num>
  <w:num w:numId="4" w16cid:durableId="529102901">
    <w:abstractNumId w:val="38"/>
  </w:num>
  <w:num w:numId="5" w16cid:durableId="1309549905">
    <w:abstractNumId w:val="11"/>
  </w:num>
  <w:num w:numId="6" w16cid:durableId="786197614">
    <w:abstractNumId w:val="2"/>
  </w:num>
  <w:num w:numId="7" w16cid:durableId="134571935">
    <w:abstractNumId w:val="3"/>
  </w:num>
  <w:num w:numId="8" w16cid:durableId="1843280512">
    <w:abstractNumId w:val="30"/>
  </w:num>
  <w:num w:numId="9" w16cid:durableId="646016102">
    <w:abstractNumId w:val="9"/>
  </w:num>
  <w:num w:numId="10" w16cid:durableId="15084613">
    <w:abstractNumId w:val="1"/>
  </w:num>
  <w:num w:numId="11" w16cid:durableId="1057556405">
    <w:abstractNumId w:val="21"/>
  </w:num>
  <w:num w:numId="12" w16cid:durableId="1497307900">
    <w:abstractNumId w:val="18"/>
  </w:num>
  <w:num w:numId="13" w16cid:durableId="2009357164">
    <w:abstractNumId w:val="15"/>
  </w:num>
  <w:num w:numId="14" w16cid:durableId="1141390235">
    <w:abstractNumId w:val="42"/>
  </w:num>
  <w:num w:numId="15" w16cid:durableId="1949853819">
    <w:abstractNumId w:val="0"/>
  </w:num>
  <w:num w:numId="16" w16cid:durableId="1433207583">
    <w:abstractNumId w:val="25"/>
  </w:num>
  <w:num w:numId="17" w16cid:durableId="434207703">
    <w:abstractNumId w:val="32"/>
  </w:num>
  <w:num w:numId="18" w16cid:durableId="1943608303">
    <w:abstractNumId w:val="6"/>
  </w:num>
  <w:num w:numId="19" w16cid:durableId="29958048">
    <w:abstractNumId w:val="26"/>
  </w:num>
  <w:num w:numId="20" w16cid:durableId="1855025953">
    <w:abstractNumId w:val="29"/>
  </w:num>
  <w:num w:numId="21" w16cid:durableId="407382373">
    <w:abstractNumId w:val="19"/>
  </w:num>
  <w:num w:numId="22" w16cid:durableId="666324917">
    <w:abstractNumId w:val="8"/>
  </w:num>
  <w:num w:numId="23" w16cid:durableId="1568882757">
    <w:abstractNumId w:val="5"/>
  </w:num>
  <w:num w:numId="24" w16cid:durableId="1247425674">
    <w:abstractNumId w:val="24"/>
  </w:num>
  <w:num w:numId="25" w16cid:durableId="824518616">
    <w:abstractNumId w:val="17"/>
  </w:num>
  <w:num w:numId="26" w16cid:durableId="1995789532">
    <w:abstractNumId w:val="37"/>
  </w:num>
  <w:num w:numId="27" w16cid:durableId="1916627808">
    <w:abstractNumId w:val="33"/>
  </w:num>
  <w:num w:numId="28" w16cid:durableId="1513448811">
    <w:abstractNumId w:val="40"/>
  </w:num>
  <w:num w:numId="29" w16cid:durableId="156069277">
    <w:abstractNumId w:val="41"/>
  </w:num>
  <w:num w:numId="30" w16cid:durableId="296297024">
    <w:abstractNumId w:val="16"/>
  </w:num>
  <w:num w:numId="31" w16cid:durableId="1495607410">
    <w:abstractNumId w:val="35"/>
  </w:num>
  <w:num w:numId="32" w16cid:durableId="1398898093">
    <w:abstractNumId w:val="20"/>
  </w:num>
  <w:num w:numId="33" w16cid:durableId="329017544">
    <w:abstractNumId w:val="36"/>
  </w:num>
  <w:num w:numId="34" w16cid:durableId="983853277">
    <w:abstractNumId w:val="23"/>
  </w:num>
  <w:num w:numId="35" w16cid:durableId="825321391">
    <w:abstractNumId w:val="7"/>
  </w:num>
  <w:num w:numId="36" w16cid:durableId="1353648505">
    <w:abstractNumId w:val="13"/>
  </w:num>
  <w:num w:numId="37" w16cid:durableId="204029241">
    <w:abstractNumId w:val="22"/>
  </w:num>
  <w:num w:numId="38" w16cid:durableId="373582979">
    <w:abstractNumId w:val="14"/>
  </w:num>
  <w:num w:numId="39" w16cid:durableId="1296333263">
    <w:abstractNumId w:val="10"/>
  </w:num>
  <w:num w:numId="40" w16cid:durableId="732389887">
    <w:abstractNumId w:val="4"/>
  </w:num>
  <w:num w:numId="41" w16cid:durableId="419916260">
    <w:abstractNumId w:val="28"/>
  </w:num>
  <w:num w:numId="42" w16cid:durableId="210698302">
    <w:abstractNumId w:val="31"/>
  </w:num>
  <w:num w:numId="43" w16cid:durableId="169629977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8BE"/>
    <w:rsid w:val="00000BDF"/>
    <w:rsid w:val="0000131B"/>
    <w:rsid w:val="00010FB1"/>
    <w:rsid w:val="00015600"/>
    <w:rsid w:val="000248C6"/>
    <w:rsid w:val="0002503D"/>
    <w:rsid w:val="00025B73"/>
    <w:rsid w:val="00030B6E"/>
    <w:rsid w:val="000329A5"/>
    <w:rsid w:val="00034C13"/>
    <w:rsid w:val="00042B24"/>
    <w:rsid w:val="000442E4"/>
    <w:rsid w:val="0004733D"/>
    <w:rsid w:val="00050BEA"/>
    <w:rsid w:val="00057E71"/>
    <w:rsid w:val="0006374A"/>
    <w:rsid w:val="00064675"/>
    <w:rsid w:val="00067532"/>
    <w:rsid w:val="00070FD6"/>
    <w:rsid w:val="000738C6"/>
    <w:rsid w:val="00076D7D"/>
    <w:rsid w:val="00081566"/>
    <w:rsid w:val="00087B47"/>
    <w:rsid w:val="000915BC"/>
    <w:rsid w:val="00095664"/>
    <w:rsid w:val="000A1C22"/>
    <w:rsid w:val="000A6BD2"/>
    <w:rsid w:val="000A7EED"/>
    <w:rsid w:val="000B0BF2"/>
    <w:rsid w:val="000B5FFE"/>
    <w:rsid w:val="000C20DE"/>
    <w:rsid w:val="000C2A61"/>
    <w:rsid w:val="000D0BA7"/>
    <w:rsid w:val="000D331C"/>
    <w:rsid w:val="000D3AC2"/>
    <w:rsid w:val="000D493D"/>
    <w:rsid w:val="000D5945"/>
    <w:rsid w:val="000E194F"/>
    <w:rsid w:val="000F03BE"/>
    <w:rsid w:val="000F19B1"/>
    <w:rsid w:val="000F4EF9"/>
    <w:rsid w:val="000F51B6"/>
    <w:rsid w:val="001035E2"/>
    <w:rsid w:val="00105C3B"/>
    <w:rsid w:val="00111B1C"/>
    <w:rsid w:val="001125ED"/>
    <w:rsid w:val="00112ABB"/>
    <w:rsid w:val="00112DB9"/>
    <w:rsid w:val="00116938"/>
    <w:rsid w:val="0011786B"/>
    <w:rsid w:val="001218BA"/>
    <w:rsid w:val="00121C29"/>
    <w:rsid w:val="00122EBA"/>
    <w:rsid w:val="001304F7"/>
    <w:rsid w:val="001307C5"/>
    <w:rsid w:val="0013243F"/>
    <w:rsid w:val="001325CC"/>
    <w:rsid w:val="001347F3"/>
    <w:rsid w:val="00134867"/>
    <w:rsid w:val="00137C21"/>
    <w:rsid w:val="001440AD"/>
    <w:rsid w:val="001468A5"/>
    <w:rsid w:val="00146AF1"/>
    <w:rsid w:val="00146D7A"/>
    <w:rsid w:val="0015339A"/>
    <w:rsid w:val="00155616"/>
    <w:rsid w:val="00155C9B"/>
    <w:rsid w:val="001646C1"/>
    <w:rsid w:val="00167A71"/>
    <w:rsid w:val="0017360D"/>
    <w:rsid w:val="001738B9"/>
    <w:rsid w:val="00173C79"/>
    <w:rsid w:val="00174912"/>
    <w:rsid w:val="001838DA"/>
    <w:rsid w:val="001854D2"/>
    <w:rsid w:val="0018660A"/>
    <w:rsid w:val="00187F55"/>
    <w:rsid w:val="001A05C4"/>
    <w:rsid w:val="001A12AE"/>
    <w:rsid w:val="001A3D64"/>
    <w:rsid w:val="001A4AA9"/>
    <w:rsid w:val="001A5FC9"/>
    <w:rsid w:val="001A7D46"/>
    <w:rsid w:val="001B2654"/>
    <w:rsid w:val="001B4B7F"/>
    <w:rsid w:val="001C04D2"/>
    <w:rsid w:val="001C101C"/>
    <w:rsid w:val="001C2CDE"/>
    <w:rsid w:val="001C6254"/>
    <w:rsid w:val="001D1114"/>
    <w:rsid w:val="001D19D5"/>
    <w:rsid w:val="001D1BFD"/>
    <w:rsid w:val="001D3BC7"/>
    <w:rsid w:val="001D45E1"/>
    <w:rsid w:val="001D5AE9"/>
    <w:rsid w:val="001F2C1C"/>
    <w:rsid w:val="001F366F"/>
    <w:rsid w:val="001F3B7A"/>
    <w:rsid w:val="001F514A"/>
    <w:rsid w:val="001F7C88"/>
    <w:rsid w:val="002069B3"/>
    <w:rsid w:val="00207914"/>
    <w:rsid w:val="00214860"/>
    <w:rsid w:val="00217519"/>
    <w:rsid w:val="002205CD"/>
    <w:rsid w:val="00226DE6"/>
    <w:rsid w:val="00232074"/>
    <w:rsid w:val="002355F4"/>
    <w:rsid w:val="0023719D"/>
    <w:rsid w:val="002447B6"/>
    <w:rsid w:val="00246E80"/>
    <w:rsid w:val="0025146B"/>
    <w:rsid w:val="00251798"/>
    <w:rsid w:val="00254E50"/>
    <w:rsid w:val="00254EBA"/>
    <w:rsid w:val="002565C5"/>
    <w:rsid w:val="00267B71"/>
    <w:rsid w:val="00267FD9"/>
    <w:rsid w:val="0027191A"/>
    <w:rsid w:val="002744BC"/>
    <w:rsid w:val="002B55FA"/>
    <w:rsid w:val="002B6A2A"/>
    <w:rsid w:val="002C1E65"/>
    <w:rsid w:val="002C3E0F"/>
    <w:rsid w:val="002C5486"/>
    <w:rsid w:val="002C6F9B"/>
    <w:rsid w:val="002C7524"/>
    <w:rsid w:val="002D13FB"/>
    <w:rsid w:val="002D7913"/>
    <w:rsid w:val="002E392B"/>
    <w:rsid w:val="002E3EE1"/>
    <w:rsid w:val="002E5E73"/>
    <w:rsid w:val="002E74C4"/>
    <w:rsid w:val="002F2DEA"/>
    <w:rsid w:val="002F32F8"/>
    <w:rsid w:val="00302388"/>
    <w:rsid w:val="003034CF"/>
    <w:rsid w:val="003119CB"/>
    <w:rsid w:val="0031236B"/>
    <w:rsid w:val="00314D5A"/>
    <w:rsid w:val="00317763"/>
    <w:rsid w:val="003204A9"/>
    <w:rsid w:val="00334B4A"/>
    <w:rsid w:val="00336D4B"/>
    <w:rsid w:val="003371F3"/>
    <w:rsid w:val="00340A32"/>
    <w:rsid w:val="00340CD7"/>
    <w:rsid w:val="00343A2A"/>
    <w:rsid w:val="00345347"/>
    <w:rsid w:val="00350E3C"/>
    <w:rsid w:val="003565F1"/>
    <w:rsid w:val="00356FAA"/>
    <w:rsid w:val="00357BD3"/>
    <w:rsid w:val="00370361"/>
    <w:rsid w:val="0038117B"/>
    <w:rsid w:val="00383EB6"/>
    <w:rsid w:val="00384AD7"/>
    <w:rsid w:val="00387BFD"/>
    <w:rsid w:val="00395D8D"/>
    <w:rsid w:val="003A3F08"/>
    <w:rsid w:val="003A5FA8"/>
    <w:rsid w:val="003B16C7"/>
    <w:rsid w:val="003B183C"/>
    <w:rsid w:val="003B467A"/>
    <w:rsid w:val="003C4046"/>
    <w:rsid w:val="003C63B8"/>
    <w:rsid w:val="003E102C"/>
    <w:rsid w:val="003E1801"/>
    <w:rsid w:val="003E440A"/>
    <w:rsid w:val="003E4A21"/>
    <w:rsid w:val="003E7217"/>
    <w:rsid w:val="003F4268"/>
    <w:rsid w:val="004012A3"/>
    <w:rsid w:val="00405E3B"/>
    <w:rsid w:val="00420C4A"/>
    <w:rsid w:val="00422C0A"/>
    <w:rsid w:val="00425CA9"/>
    <w:rsid w:val="0043751E"/>
    <w:rsid w:val="00437F38"/>
    <w:rsid w:val="00440595"/>
    <w:rsid w:val="00447DA1"/>
    <w:rsid w:val="004517EC"/>
    <w:rsid w:val="00455653"/>
    <w:rsid w:val="00456EE6"/>
    <w:rsid w:val="00457629"/>
    <w:rsid w:val="004677AB"/>
    <w:rsid w:val="00471B11"/>
    <w:rsid w:val="00474083"/>
    <w:rsid w:val="00476E06"/>
    <w:rsid w:val="00477764"/>
    <w:rsid w:val="004824B5"/>
    <w:rsid w:val="0048517D"/>
    <w:rsid w:val="00485CCF"/>
    <w:rsid w:val="004927FC"/>
    <w:rsid w:val="004931E5"/>
    <w:rsid w:val="00494BC5"/>
    <w:rsid w:val="00496C1B"/>
    <w:rsid w:val="004A124B"/>
    <w:rsid w:val="004A5F3A"/>
    <w:rsid w:val="004B43DC"/>
    <w:rsid w:val="004B458A"/>
    <w:rsid w:val="004B62F9"/>
    <w:rsid w:val="004D497D"/>
    <w:rsid w:val="004D4A41"/>
    <w:rsid w:val="004D53A6"/>
    <w:rsid w:val="004E2000"/>
    <w:rsid w:val="004E272E"/>
    <w:rsid w:val="004E4396"/>
    <w:rsid w:val="004E6C6B"/>
    <w:rsid w:val="004F0412"/>
    <w:rsid w:val="004F2E77"/>
    <w:rsid w:val="004F421F"/>
    <w:rsid w:val="004F5D75"/>
    <w:rsid w:val="004F79F6"/>
    <w:rsid w:val="005019E9"/>
    <w:rsid w:val="005028E0"/>
    <w:rsid w:val="00503198"/>
    <w:rsid w:val="0051267C"/>
    <w:rsid w:val="00512C03"/>
    <w:rsid w:val="00513D66"/>
    <w:rsid w:val="00523754"/>
    <w:rsid w:val="005245EE"/>
    <w:rsid w:val="00534828"/>
    <w:rsid w:val="0054170D"/>
    <w:rsid w:val="00541B9A"/>
    <w:rsid w:val="00543517"/>
    <w:rsid w:val="005544F1"/>
    <w:rsid w:val="00557B2A"/>
    <w:rsid w:val="00563160"/>
    <w:rsid w:val="00564232"/>
    <w:rsid w:val="00565E68"/>
    <w:rsid w:val="005712F6"/>
    <w:rsid w:val="00573FD8"/>
    <w:rsid w:val="005747C5"/>
    <w:rsid w:val="00577AFB"/>
    <w:rsid w:val="005817CB"/>
    <w:rsid w:val="0058470A"/>
    <w:rsid w:val="00585BEF"/>
    <w:rsid w:val="00585C87"/>
    <w:rsid w:val="00591790"/>
    <w:rsid w:val="005942E7"/>
    <w:rsid w:val="00594CB0"/>
    <w:rsid w:val="00596087"/>
    <w:rsid w:val="005961F4"/>
    <w:rsid w:val="005A3AB8"/>
    <w:rsid w:val="005B104D"/>
    <w:rsid w:val="005B3687"/>
    <w:rsid w:val="005C2037"/>
    <w:rsid w:val="005C5148"/>
    <w:rsid w:val="005C726E"/>
    <w:rsid w:val="005C785E"/>
    <w:rsid w:val="005C7F7D"/>
    <w:rsid w:val="005D02FA"/>
    <w:rsid w:val="005D25F9"/>
    <w:rsid w:val="005D5634"/>
    <w:rsid w:val="005D63DD"/>
    <w:rsid w:val="005D69D7"/>
    <w:rsid w:val="005E2495"/>
    <w:rsid w:val="005F15ED"/>
    <w:rsid w:val="005F265A"/>
    <w:rsid w:val="0060790E"/>
    <w:rsid w:val="00616B98"/>
    <w:rsid w:val="00616BB3"/>
    <w:rsid w:val="00617100"/>
    <w:rsid w:val="00620621"/>
    <w:rsid w:val="0063211E"/>
    <w:rsid w:val="006374CB"/>
    <w:rsid w:val="0063759F"/>
    <w:rsid w:val="006450EF"/>
    <w:rsid w:val="006452F2"/>
    <w:rsid w:val="00645D0B"/>
    <w:rsid w:val="00651199"/>
    <w:rsid w:val="00663266"/>
    <w:rsid w:val="00666DD5"/>
    <w:rsid w:val="006770E3"/>
    <w:rsid w:val="00680AAB"/>
    <w:rsid w:val="00682D29"/>
    <w:rsid w:val="0068396C"/>
    <w:rsid w:val="00693C2E"/>
    <w:rsid w:val="00694455"/>
    <w:rsid w:val="006A07B2"/>
    <w:rsid w:val="006A6E91"/>
    <w:rsid w:val="006A7E8F"/>
    <w:rsid w:val="006B01E5"/>
    <w:rsid w:val="006B7B50"/>
    <w:rsid w:val="006C04BD"/>
    <w:rsid w:val="006C07AE"/>
    <w:rsid w:val="006C159E"/>
    <w:rsid w:val="006C3EA7"/>
    <w:rsid w:val="006C526F"/>
    <w:rsid w:val="006D2B5A"/>
    <w:rsid w:val="006D39FA"/>
    <w:rsid w:val="006E51D3"/>
    <w:rsid w:val="006F036F"/>
    <w:rsid w:val="006F4F33"/>
    <w:rsid w:val="006F5A3F"/>
    <w:rsid w:val="007040A7"/>
    <w:rsid w:val="0070634F"/>
    <w:rsid w:val="00710170"/>
    <w:rsid w:val="00715F37"/>
    <w:rsid w:val="00727EAA"/>
    <w:rsid w:val="007326CB"/>
    <w:rsid w:val="0073675E"/>
    <w:rsid w:val="0074207B"/>
    <w:rsid w:val="0074555B"/>
    <w:rsid w:val="00754386"/>
    <w:rsid w:val="007619BE"/>
    <w:rsid w:val="00761F78"/>
    <w:rsid w:val="0076402B"/>
    <w:rsid w:val="0077263F"/>
    <w:rsid w:val="00776913"/>
    <w:rsid w:val="00777849"/>
    <w:rsid w:val="00780486"/>
    <w:rsid w:val="007805F6"/>
    <w:rsid w:val="00786BE2"/>
    <w:rsid w:val="00786C5F"/>
    <w:rsid w:val="0079203F"/>
    <w:rsid w:val="00792CCC"/>
    <w:rsid w:val="00793F48"/>
    <w:rsid w:val="00797EFB"/>
    <w:rsid w:val="007A19A4"/>
    <w:rsid w:val="007A375D"/>
    <w:rsid w:val="007A3D96"/>
    <w:rsid w:val="007A6DBE"/>
    <w:rsid w:val="007B126D"/>
    <w:rsid w:val="007C434D"/>
    <w:rsid w:val="007C64ED"/>
    <w:rsid w:val="007C6C53"/>
    <w:rsid w:val="007D0717"/>
    <w:rsid w:val="007D2554"/>
    <w:rsid w:val="007D285D"/>
    <w:rsid w:val="007D44E8"/>
    <w:rsid w:val="007D79AF"/>
    <w:rsid w:val="007E1822"/>
    <w:rsid w:val="007F2D0E"/>
    <w:rsid w:val="008037E6"/>
    <w:rsid w:val="008134D1"/>
    <w:rsid w:val="008139A2"/>
    <w:rsid w:val="00814907"/>
    <w:rsid w:val="00815F48"/>
    <w:rsid w:val="00820C76"/>
    <w:rsid w:val="0082320B"/>
    <w:rsid w:val="00823BE7"/>
    <w:rsid w:val="00827302"/>
    <w:rsid w:val="00827744"/>
    <w:rsid w:val="00830EC7"/>
    <w:rsid w:val="008318FF"/>
    <w:rsid w:val="00832916"/>
    <w:rsid w:val="008342E4"/>
    <w:rsid w:val="00835DF2"/>
    <w:rsid w:val="00837F56"/>
    <w:rsid w:val="00845EB8"/>
    <w:rsid w:val="00847D26"/>
    <w:rsid w:val="00862CA7"/>
    <w:rsid w:val="008631D5"/>
    <w:rsid w:val="00867DF1"/>
    <w:rsid w:val="008700FE"/>
    <w:rsid w:val="00874978"/>
    <w:rsid w:val="008B0737"/>
    <w:rsid w:val="008B1B7D"/>
    <w:rsid w:val="008B534B"/>
    <w:rsid w:val="008C43C7"/>
    <w:rsid w:val="008C59BC"/>
    <w:rsid w:val="008D62EA"/>
    <w:rsid w:val="008D6A1F"/>
    <w:rsid w:val="008E0C34"/>
    <w:rsid w:val="008F3DC3"/>
    <w:rsid w:val="008F5BAC"/>
    <w:rsid w:val="009018D2"/>
    <w:rsid w:val="00905004"/>
    <w:rsid w:val="00906C43"/>
    <w:rsid w:val="00907955"/>
    <w:rsid w:val="009138AE"/>
    <w:rsid w:val="00916A7D"/>
    <w:rsid w:val="009170D8"/>
    <w:rsid w:val="00923513"/>
    <w:rsid w:val="00925F76"/>
    <w:rsid w:val="00926AA0"/>
    <w:rsid w:val="00932E48"/>
    <w:rsid w:val="0093481B"/>
    <w:rsid w:val="009351F3"/>
    <w:rsid w:val="009448B6"/>
    <w:rsid w:val="00952D0F"/>
    <w:rsid w:val="00963196"/>
    <w:rsid w:val="0096336C"/>
    <w:rsid w:val="009636B7"/>
    <w:rsid w:val="00964394"/>
    <w:rsid w:val="009668CB"/>
    <w:rsid w:val="00975B62"/>
    <w:rsid w:val="0097679C"/>
    <w:rsid w:val="009812F7"/>
    <w:rsid w:val="00985DD1"/>
    <w:rsid w:val="00991FE8"/>
    <w:rsid w:val="009928B7"/>
    <w:rsid w:val="009A0B7F"/>
    <w:rsid w:val="009A2854"/>
    <w:rsid w:val="009A2D2F"/>
    <w:rsid w:val="009A32B9"/>
    <w:rsid w:val="009A3FBC"/>
    <w:rsid w:val="009A5E34"/>
    <w:rsid w:val="009B100C"/>
    <w:rsid w:val="009C0C61"/>
    <w:rsid w:val="009C35A4"/>
    <w:rsid w:val="009C4103"/>
    <w:rsid w:val="009D4BF9"/>
    <w:rsid w:val="009D5ADB"/>
    <w:rsid w:val="009E2B49"/>
    <w:rsid w:val="009E4D96"/>
    <w:rsid w:val="009E5C2D"/>
    <w:rsid w:val="009E71C0"/>
    <w:rsid w:val="009F0A37"/>
    <w:rsid w:val="009F140F"/>
    <w:rsid w:val="009F3F92"/>
    <w:rsid w:val="009F606A"/>
    <w:rsid w:val="009F7629"/>
    <w:rsid w:val="00A02C70"/>
    <w:rsid w:val="00A0350F"/>
    <w:rsid w:val="00A11E27"/>
    <w:rsid w:val="00A14149"/>
    <w:rsid w:val="00A15016"/>
    <w:rsid w:val="00A26236"/>
    <w:rsid w:val="00A361D6"/>
    <w:rsid w:val="00A40FC9"/>
    <w:rsid w:val="00A45CEF"/>
    <w:rsid w:val="00A470E7"/>
    <w:rsid w:val="00A5364A"/>
    <w:rsid w:val="00A57D1C"/>
    <w:rsid w:val="00A6103E"/>
    <w:rsid w:val="00A61462"/>
    <w:rsid w:val="00A656B3"/>
    <w:rsid w:val="00A66036"/>
    <w:rsid w:val="00A664FF"/>
    <w:rsid w:val="00A763FD"/>
    <w:rsid w:val="00A77BE7"/>
    <w:rsid w:val="00A874ED"/>
    <w:rsid w:val="00A907A6"/>
    <w:rsid w:val="00A90F7B"/>
    <w:rsid w:val="00A977C6"/>
    <w:rsid w:val="00AA15B6"/>
    <w:rsid w:val="00AA1B67"/>
    <w:rsid w:val="00AA2AC5"/>
    <w:rsid w:val="00AB211F"/>
    <w:rsid w:val="00AB4E60"/>
    <w:rsid w:val="00AB6B45"/>
    <w:rsid w:val="00AC3C76"/>
    <w:rsid w:val="00AC478D"/>
    <w:rsid w:val="00AC4CEC"/>
    <w:rsid w:val="00AC5E41"/>
    <w:rsid w:val="00AD014A"/>
    <w:rsid w:val="00AD0D61"/>
    <w:rsid w:val="00AD10DE"/>
    <w:rsid w:val="00AD298D"/>
    <w:rsid w:val="00AD4108"/>
    <w:rsid w:val="00AE7713"/>
    <w:rsid w:val="00AF070E"/>
    <w:rsid w:val="00AF18BD"/>
    <w:rsid w:val="00B02398"/>
    <w:rsid w:val="00B02E89"/>
    <w:rsid w:val="00B07C8E"/>
    <w:rsid w:val="00B1092F"/>
    <w:rsid w:val="00B208F4"/>
    <w:rsid w:val="00B219B2"/>
    <w:rsid w:val="00B224D4"/>
    <w:rsid w:val="00B258FA"/>
    <w:rsid w:val="00B37360"/>
    <w:rsid w:val="00B446BC"/>
    <w:rsid w:val="00B517AB"/>
    <w:rsid w:val="00B600FE"/>
    <w:rsid w:val="00B62B7A"/>
    <w:rsid w:val="00B66C3D"/>
    <w:rsid w:val="00B72970"/>
    <w:rsid w:val="00B75B69"/>
    <w:rsid w:val="00B80FC7"/>
    <w:rsid w:val="00B85EB9"/>
    <w:rsid w:val="00B86BD0"/>
    <w:rsid w:val="00B92295"/>
    <w:rsid w:val="00B93598"/>
    <w:rsid w:val="00B947D4"/>
    <w:rsid w:val="00BA05B9"/>
    <w:rsid w:val="00BA14DA"/>
    <w:rsid w:val="00BA50B9"/>
    <w:rsid w:val="00BA6AC3"/>
    <w:rsid w:val="00BB159C"/>
    <w:rsid w:val="00BB1624"/>
    <w:rsid w:val="00BB33A5"/>
    <w:rsid w:val="00BB47C8"/>
    <w:rsid w:val="00BC5497"/>
    <w:rsid w:val="00BD0A45"/>
    <w:rsid w:val="00BD7B11"/>
    <w:rsid w:val="00BE0D8E"/>
    <w:rsid w:val="00BE47C5"/>
    <w:rsid w:val="00BE64C4"/>
    <w:rsid w:val="00BE6C00"/>
    <w:rsid w:val="00BE6ED3"/>
    <w:rsid w:val="00BF054D"/>
    <w:rsid w:val="00BF1FE8"/>
    <w:rsid w:val="00C05164"/>
    <w:rsid w:val="00C1135F"/>
    <w:rsid w:val="00C21156"/>
    <w:rsid w:val="00C21E52"/>
    <w:rsid w:val="00C30D20"/>
    <w:rsid w:val="00C32CBA"/>
    <w:rsid w:val="00C408E7"/>
    <w:rsid w:val="00C40BB5"/>
    <w:rsid w:val="00C43ABF"/>
    <w:rsid w:val="00C43BC5"/>
    <w:rsid w:val="00C45F90"/>
    <w:rsid w:val="00C460A8"/>
    <w:rsid w:val="00C53B82"/>
    <w:rsid w:val="00C56351"/>
    <w:rsid w:val="00C7340C"/>
    <w:rsid w:val="00C73C30"/>
    <w:rsid w:val="00C827D7"/>
    <w:rsid w:val="00C83A89"/>
    <w:rsid w:val="00C9181F"/>
    <w:rsid w:val="00C92BE6"/>
    <w:rsid w:val="00C942D3"/>
    <w:rsid w:val="00C96167"/>
    <w:rsid w:val="00CA1608"/>
    <w:rsid w:val="00CA5123"/>
    <w:rsid w:val="00CA6D40"/>
    <w:rsid w:val="00CA7E88"/>
    <w:rsid w:val="00CB36B0"/>
    <w:rsid w:val="00CB51C4"/>
    <w:rsid w:val="00CC5379"/>
    <w:rsid w:val="00CD11F1"/>
    <w:rsid w:val="00CD3851"/>
    <w:rsid w:val="00CE1265"/>
    <w:rsid w:val="00CE1D99"/>
    <w:rsid w:val="00CE27E1"/>
    <w:rsid w:val="00CE2B9F"/>
    <w:rsid w:val="00CE32C0"/>
    <w:rsid w:val="00CE4338"/>
    <w:rsid w:val="00CE7A23"/>
    <w:rsid w:val="00CE7A4C"/>
    <w:rsid w:val="00CF1D6F"/>
    <w:rsid w:val="00CF5AB6"/>
    <w:rsid w:val="00D14EE0"/>
    <w:rsid w:val="00D16160"/>
    <w:rsid w:val="00D16320"/>
    <w:rsid w:val="00D22661"/>
    <w:rsid w:val="00D25308"/>
    <w:rsid w:val="00D256BE"/>
    <w:rsid w:val="00D27C0E"/>
    <w:rsid w:val="00D377EF"/>
    <w:rsid w:val="00D37801"/>
    <w:rsid w:val="00D40132"/>
    <w:rsid w:val="00D50203"/>
    <w:rsid w:val="00D5041C"/>
    <w:rsid w:val="00D61EDC"/>
    <w:rsid w:val="00D71830"/>
    <w:rsid w:val="00D81467"/>
    <w:rsid w:val="00D816FF"/>
    <w:rsid w:val="00D84577"/>
    <w:rsid w:val="00D90300"/>
    <w:rsid w:val="00D9044C"/>
    <w:rsid w:val="00D92A31"/>
    <w:rsid w:val="00D95EFF"/>
    <w:rsid w:val="00D961F2"/>
    <w:rsid w:val="00D965E7"/>
    <w:rsid w:val="00DA0553"/>
    <w:rsid w:val="00DA2A3B"/>
    <w:rsid w:val="00DA39FB"/>
    <w:rsid w:val="00DA5BF4"/>
    <w:rsid w:val="00DB10B9"/>
    <w:rsid w:val="00DC42B0"/>
    <w:rsid w:val="00DD0090"/>
    <w:rsid w:val="00DD1EE9"/>
    <w:rsid w:val="00DD4CD9"/>
    <w:rsid w:val="00DD53A4"/>
    <w:rsid w:val="00DD6287"/>
    <w:rsid w:val="00DD69B4"/>
    <w:rsid w:val="00DE37F4"/>
    <w:rsid w:val="00DE6440"/>
    <w:rsid w:val="00DF330A"/>
    <w:rsid w:val="00DF4326"/>
    <w:rsid w:val="00DF6B17"/>
    <w:rsid w:val="00E026E0"/>
    <w:rsid w:val="00E06F55"/>
    <w:rsid w:val="00E2168C"/>
    <w:rsid w:val="00E22F32"/>
    <w:rsid w:val="00E26323"/>
    <w:rsid w:val="00E27CCA"/>
    <w:rsid w:val="00E30CEC"/>
    <w:rsid w:val="00E32ED4"/>
    <w:rsid w:val="00E377AB"/>
    <w:rsid w:val="00E40FB8"/>
    <w:rsid w:val="00E43247"/>
    <w:rsid w:val="00E5619E"/>
    <w:rsid w:val="00E63A0D"/>
    <w:rsid w:val="00E64CFD"/>
    <w:rsid w:val="00E75A58"/>
    <w:rsid w:val="00E774CF"/>
    <w:rsid w:val="00E81284"/>
    <w:rsid w:val="00E81F55"/>
    <w:rsid w:val="00E87B8C"/>
    <w:rsid w:val="00E90DE7"/>
    <w:rsid w:val="00E92CB9"/>
    <w:rsid w:val="00E955DE"/>
    <w:rsid w:val="00E95B0F"/>
    <w:rsid w:val="00EB2642"/>
    <w:rsid w:val="00EB6278"/>
    <w:rsid w:val="00EC0D8E"/>
    <w:rsid w:val="00EC373B"/>
    <w:rsid w:val="00EC5A89"/>
    <w:rsid w:val="00ED4591"/>
    <w:rsid w:val="00EE6358"/>
    <w:rsid w:val="00EE63DB"/>
    <w:rsid w:val="00EF1760"/>
    <w:rsid w:val="00EF5127"/>
    <w:rsid w:val="00F10EC9"/>
    <w:rsid w:val="00F253AE"/>
    <w:rsid w:val="00F27015"/>
    <w:rsid w:val="00F333BE"/>
    <w:rsid w:val="00F33F71"/>
    <w:rsid w:val="00F41524"/>
    <w:rsid w:val="00F426BF"/>
    <w:rsid w:val="00F4287C"/>
    <w:rsid w:val="00F45F61"/>
    <w:rsid w:val="00F5018D"/>
    <w:rsid w:val="00F51E86"/>
    <w:rsid w:val="00F60053"/>
    <w:rsid w:val="00F60E15"/>
    <w:rsid w:val="00F60E50"/>
    <w:rsid w:val="00F67CB1"/>
    <w:rsid w:val="00F73216"/>
    <w:rsid w:val="00F75533"/>
    <w:rsid w:val="00F83514"/>
    <w:rsid w:val="00F877B0"/>
    <w:rsid w:val="00F913CE"/>
    <w:rsid w:val="00F928BE"/>
    <w:rsid w:val="00F93072"/>
    <w:rsid w:val="00F95888"/>
    <w:rsid w:val="00FA04C6"/>
    <w:rsid w:val="00FA0A53"/>
    <w:rsid w:val="00FA15C4"/>
    <w:rsid w:val="00FA576E"/>
    <w:rsid w:val="00FA5B60"/>
    <w:rsid w:val="00FA628E"/>
    <w:rsid w:val="00FA674B"/>
    <w:rsid w:val="00FA775A"/>
    <w:rsid w:val="00FA7CF0"/>
    <w:rsid w:val="00FC59FB"/>
    <w:rsid w:val="00FD08E6"/>
    <w:rsid w:val="00FD1A75"/>
    <w:rsid w:val="00FD31E2"/>
    <w:rsid w:val="00FE6371"/>
    <w:rsid w:val="00FF5E67"/>
    <w:rsid w:val="00FF7D67"/>
    <w:rsid w:val="0288C9D9"/>
    <w:rsid w:val="067A2D2E"/>
    <w:rsid w:val="07374786"/>
    <w:rsid w:val="089A57CF"/>
    <w:rsid w:val="0A0041E1"/>
    <w:rsid w:val="0A529A83"/>
    <w:rsid w:val="0AA56B81"/>
    <w:rsid w:val="0CFDD9DB"/>
    <w:rsid w:val="0E2F5797"/>
    <w:rsid w:val="14A28619"/>
    <w:rsid w:val="154BA7C4"/>
    <w:rsid w:val="1584332F"/>
    <w:rsid w:val="178C9A89"/>
    <w:rsid w:val="1AA0E429"/>
    <w:rsid w:val="1B09E3CB"/>
    <w:rsid w:val="1CB95CCF"/>
    <w:rsid w:val="1D2B9BAE"/>
    <w:rsid w:val="219E7FC9"/>
    <w:rsid w:val="21DFAE6E"/>
    <w:rsid w:val="24E461FE"/>
    <w:rsid w:val="26B91111"/>
    <w:rsid w:val="2A47310D"/>
    <w:rsid w:val="30DAF896"/>
    <w:rsid w:val="332A5D17"/>
    <w:rsid w:val="3482B36B"/>
    <w:rsid w:val="36A97D4C"/>
    <w:rsid w:val="371ECD28"/>
    <w:rsid w:val="3D58A4FE"/>
    <w:rsid w:val="3F253CF2"/>
    <w:rsid w:val="3F7FFA36"/>
    <w:rsid w:val="46C19B9F"/>
    <w:rsid w:val="4A9C5DD7"/>
    <w:rsid w:val="4AE3068B"/>
    <w:rsid w:val="4D35B8A7"/>
    <w:rsid w:val="4E2665FD"/>
    <w:rsid w:val="4F9B67CC"/>
    <w:rsid w:val="50DF1CFA"/>
    <w:rsid w:val="56047BB5"/>
    <w:rsid w:val="57961BBF"/>
    <w:rsid w:val="5F514BE8"/>
    <w:rsid w:val="5F9CA737"/>
    <w:rsid w:val="6053F16A"/>
    <w:rsid w:val="60AB7029"/>
    <w:rsid w:val="60F6F19D"/>
    <w:rsid w:val="63B1C43E"/>
    <w:rsid w:val="663D9FFC"/>
    <w:rsid w:val="6645C028"/>
    <w:rsid w:val="66860E9D"/>
    <w:rsid w:val="66A56C68"/>
    <w:rsid w:val="66D33B47"/>
    <w:rsid w:val="6723B12A"/>
    <w:rsid w:val="68CA3C60"/>
    <w:rsid w:val="6E1C3DBC"/>
    <w:rsid w:val="6EA22D5A"/>
    <w:rsid w:val="6EE132F8"/>
    <w:rsid w:val="6F66576E"/>
    <w:rsid w:val="6FC6821F"/>
    <w:rsid w:val="70E4B4B5"/>
    <w:rsid w:val="7575C229"/>
    <w:rsid w:val="7D5AE586"/>
    <w:rsid w:val="7E07466D"/>
    <w:rsid w:val="7E7F88D6"/>
    <w:rsid w:val="7E9B0820"/>
    <w:rsid w:val="7FAA3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E0B0A"/>
  <w15:chartTrackingRefBased/>
  <w15:docId w15:val="{C74982D4-E9B8-4906-B6DF-CCF74F62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BE"/>
    <w:pPr>
      <w:spacing w:after="0" w:line="264" w:lineRule="auto"/>
    </w:pPr>
    <w:rPr>
      <w:rFonts w:ascii="Verdana" w:eastAsiaTheme="minorEastAsi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umbered Para 1,No Spacing1,List Paragraph Char Char Char,Indicator Text,List Paragraph1,Bullet Points,MAIN CONTENT,List Paragraph12,Bullet 1,F5 List Paragraph,OBC Bullet,List Paragraph11,Colorful List - Accent 11,Normal numbered"/>
    <w:basedOn w:val="Normal"/>
    <w:link w:val="ListParagraphChar"/>
    <w:uiPriority w:val="34"/>
    <w:qFormat/>
    <w:rsid w:val="001C04D2"/>
    <w:pPr>
      <w:ind w:left="720"/>
      <w:contextualSpacing/>
    </w:pPr>
  </w:style>
  <w:style w:type="table" w:styleId="TableGrid">
    <w:name w:val="Table Grid"/>
    <w:basedOn w:val="TableNormal"/>
    <w:uiPriority w:val="59"/>
    <w:rsid w:val="001C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E67"/>
    <w:rPr>
      <w:sz w:val="16"/>
      <w:szCs w:val="16"/>
    </w:rPr>
  </w:style>
  <w:style w:type="paragraph" w:styleId="CommentText">
    <w:name w:val="annotation text"/>
    <w:basedOn w:val="Normal"/>
    <w:link w:val="CommentTextChar"/>
    <w:uiPriority w:val="99"/>
    <w:unhideWhenUsed/>
    <w:rsid w:val="00FF5E67"/>
    <w:pPr>
      <w:spacing w:line="240" w:lineRule="auto"/>
    </w:pPr>
    <w:rPr>
      <w:sz w:val="20"/>
      <w:szCs w:val="20"/>
    </w:rPr>
  </w:style>
  <w:style w:type="character" w:customStyle="1" w:styleId="CommentTextChar">
    <w:name w:val="Comment Text Char"/>
    <w:basedOn w:val="DefaultParagraphFont"/>
    <w:link w:val="CommentText"/>
    <w:uiPriority w:val="99"/>
    <w:rsid w:val="00FF5E67"/>
    <w:rPr>
      <w:rFonts w:ascii="Verdana" w:eastAsiaTheme="minorEastAsi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FF5E67"/>
    <w:rPr>
      <w:b/>
      <w:bCs/>
    </w:rPr>
  </w:style>
  <w:style w:type="character" w:customStyle="1" w:styleId="CommentSubjectChar">
    <w:name w:val="Comment Subject Char"/>
    <w:basedOn w:val="CommentTextChar"/>
    <w:link w:val="CommentSubject"/>
    <w:uiPriority w:val="99"/>
    <w:semiHidden/>
    <w:rsid w:val="00FF5E67"/>
    <w:rPr>
      <w:rFonts w:ascii="Verdana" w:eastAsiaTheme="minorEastAsia" w:hAnsi="Verdana" w:cs="Times New Roman"/>
      <w:b/>
      <w:bCs/>
      <w:sz w:val="20"/>
      <w:szCs w:val="20"/>
    </w:rPr>
  </w:style>
  <w:style w:type="paragraph" w:styleId="Revision">
    <w:name w:val="Revision"/>
    <w:hidden/>
    <w:uiPriority w:val="99"/>
    <w:semiHidden/>
    <w:rsid w:val="00FF5E67"/>
    <w:pPr>
      <w:spacing w:after="0" w:line="240" w:lineRule="auto"/>
    </w:pPr>
    <w:rPr>
      <w:rFonts w:ascii="Verdana" w:eastAsiaTheme="minorEastAsia" w:hAnsi="Verdana" w:cs="Times New Roman"/>
    </w:rPr>
  </w:style>
  <w:style w:type="paragraph" w:styleId="BalloonText">
    <w:name w:val="Balloon Text"/>
    <w:basedOn w:val="Normal"/>
    <w:link w:val="BalloonTextChar"/>
    <w:uiPriority w:val="99"/>
    <w:semiHidden/>
    <w:unhideWhenUsed/>
    <w:rsid w:val="00FF5E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E67"/>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1218BA"/>
    <w:pPr>
      <w:spacing w:line="240" w:lineRule="auto"/>
    </w:pPr>
    <w:rPr>
      <w:sz w:val="20"/>
      <w:szCs w:val="20"/>
    </w:rPr>
  </w:style>
  <w:style w:type="character" w:customStyle="1" w:styleId="FootnoteTextChar">
    <w:name w:val="Footnote Text Char"/>
    <w:basedOn w:val="DefaultParagraphFont"/>
    <w:link w:val="FootnoteText"/>
    <w:uiPriority w:val="99"/>
    <w:semiHidden/>
    <w:rsid w:val="001218BA"/>
    <w:rPr>
      <w:rFonts w:ascii="Verdana" w:eastAsiaTheme="minorEastAsia" w:hAnsi="Verdana" w:cs="Times New Roman"/>
      <w:sz w:val="20"/>
      <w:szCs w:val="20"/>
    </w:rPr>
  </w:style>
  <w:style w:type="character" w:styleId="FootnoteReference">
    <w:name w:val="footnote reference"/>
    <w:basedOn w:val="DefaultParagraphFont"/>
    <w:uiPriority w:val="99"/>
    <w:semiHidden/>
    <w:unhideWhenUsed/>
    <w:rsid w:val="001218BA"/>
    <w:rPr>
      <w:vertAlign w:val="superscript"/>
    </w:rPr>
  </w:style>
  <w:style w:type="paragraph" w:styleId="Header">
    <w:name w:val="header"/>
    <w:basedOn w:val="Normal"/>
    <w:link w:val="HeaderChar"/>
    <w:uiPriority w:val="99"/>
    <w:unhideWhenUsed/>
    <w:rsid w:val="00F75533"/>
    <w:pPr>
      <w:tabs>
        <w:tab w:val="center" w:pos="4513"/>
        <w:tab w:val="right" w:pos="9026"/>
      </w:tabs>
      <w:spacing w:line="240" w:lineRule="auto"/>
    </w:pPr>
  </w:style>
  <w:style w:type="character" w:customStyle="1" w:styleId="HeaderChar">
    <w:name w:val="Header Char"/>
    <w:basedOn w:val="DefaultParagraphFont"/>
    <w:link w:val="Header"/>
    <w:uiPriority w:val="99"/>
    <w:rsid w:val="00F75533"/>
    <w:rPr>
      <w:rFonts w:ascii="Verdana" w:eastAsiaTheme="minorEastAsia" w:hAnsi="Verdana" w:cs="Times New Roman"/>
    </w:rPr>
  </w:style>
  <w:style w:type="paragraph" w:styleId="Footer">
    <w:name w:val="footer"/>
    <w:basedOn w:val="Normal"/>
    <w:link w:val="FooterChar"/>
    <w:uiPriority w:val="99"/>
    <w:unhideWhenUsed/>
    <w:rsid w:val="00F75533"/>
    <w:pPr>
      <w:tabs>
        <w:tab w:val="center" w:pos="4513"/>
        <w:tab w:val="right" w:pos="9026"/>
      </w:tabs>
      <w:spacing w:line="240" w:lineRule="auto"/>
    </w:pPr>
  </w:style>
  <w:style w:type="character" w:customStyle="1" w:styleId="FooterChar">
    <w:name w:val="Footer Char"/>
    <w:basedOn w:val="DefaultParagraphFont"/>
    <w:link w:val="Footer"/>
    <w:uiPriority w:val="99"/>
    <w:rsid w:val="00F75533"/>
    <w:rPr>
      <w:rFonts w:ascii="Verdana" w:eastAsiaTheme="minorEastAsia" w:hAnsi="Verdana" w:cs="Times New Roman"/>
    </w:rPr>
  </w:style>
  <w:style w:type="paragraph" w:customStyle="1" w:styleId="paragraph">
    <w:name w:val="paragraph"/>
    <w:basedOn w:val="Normal"/>
    <w:rsid w:val="00E774C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774CF"/>
  </w:style>
  <w:style w:type="character" w:customStyle="1" w:styleId="eop">
    <w:name w:val="eop"/>
    <w:basedOn w:val="DefaultParagraphFont"/>
    <w:rsid w:val="00E774CF"/>
  </w:style>
  <w:style w:type="character" w:customStyle="1" w:styleId="advancedproofingissue">
    <w:name w:val="advancedproofingissue"/>
    <w:basedOn w:val="DefaultParagraphFont"/>
    <w:rsid w:val="00E774CF"/>
  </w:style>
  <w:style w:type="paragraph" w:customStyle="1" w:styleId="Default">
    <w:name w:val="Default"/>
    <w:rsid w:val="00710170"/>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aliases w:val="Dot pt Char,Numbered Para 1 Char,No Spacing1 Char,List Paragraph Char Char Char Char,Indicator Text Char,List Paragraph1 Char,Bullet Points Char,MAIN CONTENT Char,List Paragraph12 Char,Bullet 1 Char,F5 List Paragraph Char"/>
    <w:basedOn w:val="DefaultParagraphFont"/>
    <w:link w:val="ListParagraph"/>
    <w:uiPriority w:val="34"/>
    <w:locked/>
    <w:rsid w:val="00357BD3"/>
    <w:rPr>
      <w:rFonts w:ascii="Verdana" w:eastAsiaTheme="minorEastAsia" w:hAnsi="Verdana" w:cs="Times New Roman"/>
    </w:rPr>
  </w:style>
  <w:style w:type="character" w:customStyle="1" w:styleId="legds">
    <w:name w:val="legds"/>
    <w:basedOn w:val="DefaultParagraphFont"/>
    <w:rsid w:val="00830EC7"/>
  </w:style>
  <w:style w:type="character" w:customStyle="1" w:styleId="contextualspellingandgrammarerror">
    <w:name w:val="contextualspellingandgrammarerror"/>
    <w:basedOn w:val="DefaultParagraphFont"/>
    <w:rsid w:val="00DF6B17"/>
  </w:style>
  <w:style w:type="character" w:customStyle="1" w:styleId="superscript">
    <w:name w:val="superscript"/>
    <w:basedOn w:val="DefaultParagraphFont"/>
    <w:rsid w:val="00534828"/>
  </w:style>
  <w:style w:type="paragraph" w:customStyle="1" w:styleId="roman2">
    <w:name w:val="roman 2"/>
    <w:basedOn w:val="Normal"/>
    <w:rsid w:val="00267FD9"/>
    <w:pPr>
      <w:numPr>
        <w:numId w:val="28"/>
      </w:numPr>
      <w:spacing w:after="140" w:line="290" w:lineRule="auto"/>
      <w:jc w:val="both"/>
      <w:outlineLvl w:val="1"/>
    </w:pPr>
    <w:rPr>
      <w:rFonts w:ascii="Arial" w:eastAsia="Times New Roman" w:hAnsi="Arial"/>
      <w:kern w:val="20"/>
      <w:sz w:val="20"/>
      <w:szCs w:val="20"/>
      <w:lang w:eastAsia="en-GB"/>
    </w:rPr>
  </w:style>
  <w:style w:type="table" w:customStyle="1" w:styleId="TableGrid1">
    <w:name w:val="Table Grid1"/>
    <w:basedOn w:val="TableNormal"/>
    <w:next w:val="TableGrid"/>
    <w:uiPriority w:val="59"/>
    <w:rsid w:val="004A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4AD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831">
      <w:bodyDiv w:val="1"/>
      <w:marLeft w:val="0"/>
      <w:marRight w:val="0"/>
      <w:marTop w:val="0"/>
      <w:marBottom w:val="0"/>
      <w:divBdr>
        <w:top w:val="none" w:sz="0" w:space="0" w:color="auto"/>
        <w:left w:val="none" w:sz="0" w:space="0" w:color="auto"/>
        <w:bottom w:val="none" w:sz="0" w:space="0" w:color="auto"/>
        <w:right w:val="none" w:sz="0" w:space="0" w:color="auto"/>
      </w:divBdr>
      <w:divsChild>
        <w:div w:id="1556889387">
          <w:marLeft w:val="0"/>
          <w:marRight w:val="0"/>
          <w:marTop w:val="0"/>
          <w:marBottom w:val="0"/>
          <w:divBdr>
            <w:top w:val="none" w:sz="0" w:space="0" w:color="auto"/>
            <w:left w:val="none" w:sz="0" w:space="0" w:color="auto"/>
            <w:bottom w:val="none" w:sz="0" w:space="0" w:color="auto"/>
            <w:right w:val="none" w:sz="0" w:space="0" w:color="auto"/>
          </w:divBdr>
          <w:divsChild>
            <w:div w:id="234829109">
              <w:marLeft w:val="0"/>
              <w:marRight w:val="0"/>
              <w:marTop w:val="0"/>
              <w:marBottom w:val="0"/>
              <w:divBdr>
                <w:top w:val="none" w:sz="0" w:space="0" w:color="auto"/>
                <w:left w:val="none" w:sz="0" w:space="0" w:color="auto"/>
                <w:bottom w:val="none" w:sz="0" w:space="0" w:color="auto"/>
                <w:right w:val="none" w:sz="0" w:space="0" w:color="auto"/>
              </w:divBdr>
            </w:div>
            <w:div w:id="839269900">
              <w:marLeft w:val="0"/>
              <w:marRight w:val="0"/>
              <w:marTop w:val="0"/>
              <w:marBottom w:val="0"/>
              <w:divBdr>
                <w:top w:val="none" w:sz="0" w:space="0" w:color="auto"/>
                <w:left w:val="none" w:sz="0" w:space="0" w:color="auto"/>
                <w:bottom w:val="none" w:sz="0" w:space="0" w:color="auto"/>
                <w:right w:val="none" w:sz="0" w:space="0" w:color="auto"/>
              </w:divBdr>
            </w:div>
          </w:divsChild>
        </w:div>
        <w:div w:id="1594826354">
          <w:marLeft w:val="0"/>
          <w:marRight w:val="0"/>
          <w:marTop w:val="0"/>
          <w:marBottom w:val="0"/>
          <w:divBdr>
            <w:top w:val="none" w:sz="0" w:space="0" w:color="auto"/>
            <w:left w:val="none" w:sz="0" w:space="0" w:color="auto"/>
            <w:bottom w:val="none" w:sz="0" w:space="0" w:color="auto"/>
            <w:right w:val="none" w:sz="0" w:space="0" w:color="auto"/>
          </w:divBdr>
          <w:divsChild>
            <w:div w:id="876158971">
              <w:marLeft w:val="0"/>
              <w:marRight w:val="0"/>
              <w:marTop w:val="0"/>
              <w:marBottom w:val="0"/>
              <w:divBdr>
                <w:top w:val="none" w:sz="0" w:space="0" w:color="auto"/>
                <w:left w:val="none" w:sz="0" w:space="0" w:color="auto"/>
                <w:bottom w:val="none" w:sz="0" w:space="0" w:color="auto"/>
                <w:right w:val="none" w:sz="0" w:space="0" w:color="auto"/>
              </w:divBdr>
            </w:div>
            <w:div w:id="1656831819">
              <w:marLeft w:val="0"/>
              <w:marRight w:val="0"/>
              <w:marTop w:val="0"/>
              <w:marBottom w:val="0"/>
              <w:divBdr>
                <w:top w:val="none" w:sz="0" w:space="0" w:color="auto"/>
                <w:left w:val="none" w:sz="0" w:space="0" w:color="auto"/>
                <w:bottom w:val="none" w:sz="0" w:space="0" w:color="auto"/>
                <w:right w:val="none" w:sz="0" w:space="0" w:color="auto"/>
              </w:divBdr>
            </w:div>
            <w:div w:id="21121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5985">
      <w:bodyDiv w:val="1"/>
      <w:marLeft w:val="0"/>
      <w:marRight w:val="0"/>
      <w:marTop w:val="0"/>
      <w:marBottom w:val="0"/>
      <w:divBdr>
        <w:top w:val="none" w:sz="0" w:space="0" w:color="auto"/>
        <w:left w:val="none" w:sz="0" w:space="0" w:color="auto"/>
        <w:bottom w:val="none" w:sz="0" w:space="0" w:color="auto"/>
        <w:right w:val="none" w:sz="0" w:space="0" w:color="auto"/>
      </w:divBdr>
    </w:div>
    <w:div w:id="1123379608">
      <w:bodyDiv w:val="1"/>
      <w:marLeft w:val="0"/>
      <w:marRight w:val="0"/>
      <w:marTop w:val="0"/>
      <w:marBottom w:val="0"/>
      <w:divBdr>
        <w:top w:val="none" w:sz="0" w:space="0" w:color="auto"/>
        <w:left w:val="none" w:sz="0" w:space="0" w:color="auto"/>
        <w:bottom w:val="none" w:sz="0" w:space="0" w:color="auto"/>
        <w:right w:val="none" w:sz="0" w:space="0" w:color="auto"/>
      </w:divBdr>
    </w:div>
    <w:div w:id="1578516453">
      <w:bodyDiv w:val="1"/>
      <w:marLeft w:val="0"/>
      <w:marRight w:val="0"/>
      <w:marTop w:val="0"/>
      <w:marBottom w:val="0"/>
      <w:divBdr>
        <w:top w:val="none" w:sz="0" w:space="0" w:color="auto"/>
        <w:left w:val="none" w:sz="0" w:space="0" w:color="auto"/>
        <w:bottom w:val="none" w:sz="0" w:space="0" w:color="auto"/>
        <w:right w:val="none" w:sz="0" w:space="0" w:color="auto"/>
      </w:divBdr>
      <w:divsChild>
        <w:div w:id="1607615328">
          <w:marLeft w:val="0"/>
          <w:marRight w:val="0"/>
          <w:marTop w:val="0"/>
          <w:marBottom w:val="0"/>
          <w:divBdr>
            <w:top w:val="none" w:sz="0" w:space="0" w:color="auto"/>
            <w:left w:val="none" w:sz="0" w:space="0" w:color="auto"/>
            <w:bottom w:val="none" w:sz="0" w:space="0" w:color="auto"/>
            <w:right w:val="none" w:sz="0" w:space="0" w:color="auto"/>
          </w:divBdr>
          <w:divsChild>
            <w:div w:id="244804238">
              <w:marLeft w:val="0"/>
              <w:marRight w:val="0"/>
              <w:marTop w:val="0"/>
              <w:marBottom w:val="0"/>
              <w:divBdr>
                <w:top w:val="none" w:sz="0" w:space="0" w:color="auto"/>
                <w:left w:val="none" w:sz="0" w:space="0" w:color="auto"/>
                <w:bottom w:val="none" w:sz="0" w:space="0" w:color="auto"/>
                <w:right w:val="none" w:sz="0" w:space="0" w:color="auto"/>
              </w:divBdr>
              <w:divsChild>
                <w:div w:id="2068992546">
                  <w:marLeft w:val="0"/>
                  <w:marRight w:val="0"/>
                  <w:marTop w:val="0"/>
                  <w:marBottom w:val="0"/>
                  <w:divBdr>
                    <w:top w:val="none" w:sz="0" w:space="0" w:color="auto"/>
                    <w:left w:val="none" w:sz="0" w:space="0" w:color="auto"/>
                    <w:bottom w:val="none" w:sz="0" w:space="0" w:color="auto"/>
                    <w:right w:val="none" w:sz="0" w:space="0" w:color="auto"/>
                  </w:divBdr>
                  <w:divsChild>
                    <w:div w:id="803547132">
                      <w:marLeft w:val="0"/>
                      <w:marRight w:val="0"/>
                      <w:marTop w:val="0"/>
                      <w:marBottom w:val="0"/>
                      <w:divBdr>
                        <w:top w:val="none" w:sz="0" w:space="0" w:color="auto"/>
                        <w:left w:val="none" w:sz="0" w:space="0" w:color="auto"/>
                        <w:bottom w:val="none" w:sz="0" w:space="0" w:color="auto"/>
                        <w:right w:val="none" w:sz="0" w:space="0" w:color="auto"/>
                      </w:divBdr>
                      <w:divsChild>
                        <w:div w:id="711997171">
                          <w:marLeft w:val="0"/>
                          <w:marRight w:val="0"/>
                          <w:marTop w:val="0"/>
                          <w:marBottom w:val="0"/>
                          <w:divBdr>
                            <w:top w:val="none" w:sz="0" w:space="0" w:color="auto"/>
                            <w:left w:val="none" w:sz="0" w:space="0" w:color="auto"/>
                            <w:bottom w:val="none" w:sz="0" w:space="0" w:color="auto"/>
                            <w:right w:val="none" w:sz="0" w:space="0" w:color="auto"/>
                          </w:divBdr>
                          <w:divsChild>
                            <w:div w:id="1724450157">
                              <w:marLeft w:val="0"/>
                              <w:marRight w:val="0"/>
                              <w:marTop w:val="0"/>
                              <w:marBottom w:val="0"/>
                              <w:divBdr>
                                <w:top w:val="none" w:sz="0" w:space="0" w:color="auto"/>
                                <w:left w:val="none" w:sz="0" w:space="0" w:color="auto"/>
                                <w:bottom w:val="none" w:sz="0" w:space="0" w:color="auto"/>
                                <w:right w:val="none" w:sz="0" w:space="0" w:color="auto"/>
                              </w:divBdr>
                              <w:divsChild>
                                <w:div w:id="1880583455">
                                  <w:marLeft w:val="0"/>
                                  <w:marRight w:val="0"/>
                                  <w:marTop w:val="0"/>
                                  <w:marBottom w:val="0"/>
                                  <w:divBdr>
                                    <w:top w:val="none" w:sz="0" w:space="0" w:color="auto"/>
                                    <w:left w:val="none" w:sz="0" w:space="0" w:color="auto"/>
                                    <w:bottom w:val="none" w:sz="0" w:space="0" w:color="auto"/>
                                    <w:right w:val="none" w:sz="0" w:space="0" w:color="auto"/>
                                  </w:divBdr>
                                  <w:divsChild>
                                    <w:div w:id="1718814053">
                                      <w:marLeft w:val="0"/>
                                      <w:marRight w:val="0"/>
                                      <w:marTop w:val="0"/>
                                      <w:marBottom w:val="0"/>
                                      <w:divBdr>
                                        <w:top w:val="none" w:sz="0" w:space="0" w:color="auto"/>
                                        <w:left w:val="none" w:sz="0" w:space="0" w:color="auto"/>
                                        <w:bottom w:val="none" w:sz="0" w:space="0" w:color="auto"/>
                                        <w:right w:val="none" w:sz="0" w:space="0" w:color="auto"/>
                                      </w:divBdr>
                                      <w:divsChild>
                                        <w:div w:id="880481547">
                                          <w:marLeft w:val="0"/>
                                          <w:marRight w:val="0"/>
                                          <w:marTop w:val="0"/>
                                          <w:marBottom w:val="0"/>
                                          <w:divBdr>
                                            <w:top w:val="none" w:sz="0" w:space="0" w:color="auto"/>
                                            <w:left w:val="none" w:sz="0" w:space="0" w:color="auto"/>
                                            <w:bottom w:val="none" w:sz="0" w:space="0" w:color="auto"/>
                                            <w:right w:val="none" w:sz="0" w:space="0" w:color="auto"/>
                                          </w:divBdr>
                                          <w:divsChild>
                                            <w:div w:id="1911227794">
                                              <w:marLeft w:val="0"/>
                                              <w:marRight w:val="0"/>
                                              <w:marTop w:val="0"/>
                                              <w:marBottom w:val="0"/>
                                              <w:divBdr>
                                                <w:top w:val="none" w:sz="0" w:space="0" w:color="auto"/>
                                                <w:left w:val="none" w:sz="0" w:space="0" w:color="auto"/>
                                                <w:bottom w:val="none" w:sz="0" w:space="0" w:color="auto"/>
                                                <w:right w:val="none" w:sz="0" w:space="0" w:color="auto"/>
                                              </w:divBdr>
                                              <w:divsChild>
                                                <w:div w:id="831262350">
                                                  <w:marLeft w:val="0"/>
                                                  <w:marRight w:val="0"/>
                                                  <w:marTop w:val="0"/>
                                                  <w:marBottom w:val="0"/>
                                                  <w:divBdr>
                                                    <w:top w:val="none" w:sz="0" w:space="0" w:color="auto"/>
                                                    <w:left w:val="none" w:sz="0" w:space="0" w:color="auto"/>
                                                    <w:bottom w:val="none" w:sz="0" w:space="0" w:color="auto"/>
                                                    <w:right w:val="none" w:sz="0" w:space="0" w:color="auto"/>
                                                  </w:divBdr>
                                                  <w:divsChild>
                                                    <w:div w:id="2012754091">
                                                      <w:marLeft w:val="0"/>
                                                      <w:marRight w:val="0"/>
                                                      <w:marTop w:val="0"/>
                                                      <w:marBottom w:val="0"/>
                                                      <w:divBdr>
                                                        <w:top w:val="none" w:sz="0" w:space="0" w:color="auto"/>
                                                        <w:left w:val="none" w:sz="0" w:space="0" w:color="auto"/>
                                                        <w:bottom w:val="none" w:sz="0" w:space="0" w:color="auto"/>
                                                        <w:right w:val="none" w:sz="0" w:space="0" w:color="auto"/>
                                                      </w:divBdr>
                                                      <w:divsChild>
                                                        <w:div w:id="168494464">
                                                          <w:marLeft w:val="0"/>
                                                          <w:marRight w:val="0"/>
                                                          <w:marTop w:val="0"/>
                                                          <w:marBottom w:val="0"/>
                                                          <w:divBdr>
                                                            <w:top w:val="none" w:sz="0" w:space="0" w:color="auto"/>
                                                            <w:left w:val="none" w:sz="0" w:space="0" w:color="auto"/>
                                                            <w:bottom w:val="none" w:sz="0" w:space="0" w:color="auto"/>
                                                            <w:right w:val="none" w:sz="0" w:space="0" w:color="auto"/>
                                                          </w:divBdr>
                                                          <w:divsChild>
                                                            <w:div w:id="58990511">
                                                              <w:marLeft w:val="0"/>
                                                              <w:marRight w:val="0"/>
                                                              <w:marTop w:val="0"/>
                                                              <w:marBottom w:val="0"/>
                                                              <w:divBdr>
                                                                <w:top w:val="none" w:sz="0" w:space="0" w:color="auto"/>
                                                                <w:left w:val="none" w:sz="0" w:space="0" w:color="auto"/>
                                                                <w:bottom w:val="none" w:sz="0" w:space="0" w:color="auto"/>
                                                                <w:right w:val="none" w:sz="0" w:space="0" w:color="auto"/>
                                                              </w:divBdr>
                                                              <w:divsChild>
                                                                <w:div w:id="1828742094">
                                                                  <w:marLeft w:val="0"/>
                                                                  <w:marRight w:val="0"/>
                                                                  <w:marTop w:val="0"/>
                                                                  <w:marBottom w:val="0"/>
                                                                  <w:divBdr>
                                                                    <w:top w:val="none" w:sz="0" w:space="0" w:color="auto"/>
                                                                    <w:left w:val="none" w:sz="0" w:space="0" w:color="auto"/>
                                                                    <w:bottom w:val="none" w:sz="0" w:space="0" w:color="auto"/>
                                                                    <w:right w:val="none" w:sz="0" w:space="0" w:color="auto"/>
                                                                  </w:divBdr>
                                                                  <w:divsChild>
                                                                    <w:div w:id="1018002113">
                                                                      <w:marLeft w:val="0"/>
                                                                      <w:marRight w:val="0"/>
                                                                      <w:marTop w:val="0"/>
                                                                      <w:marBottom w:val="0"/>
                                                                      <w:divBdr>
                                                                        <w:top w:val="none" w:sz="0" w:space="0" w:color="auto"/>
                                                                        <w:left w:val="none" w:sz="0" w:space="0" w:color="auto"/>
                                                                        <w:bottom w:val="none" w:sz="0" w:space="0" w:color="auto"/>
                                                                        <w:right w:val="none" w:sz="0" w:space="0" w:color="auto"/>
                                                                      </w:divBdr>
                                                                      <w:divsChild>
                                                                        <w:div w:id="1309937810">
                                                                          <w:marLeft w:val="0"/>
                                                                          <w:marRight w:val="0"/>
                                                                          <w:marTop w:val="0"/>
                                                                          <w:marBottom w:val="0"/>
                                                                          <w:divBdr>
                                                                            <w:top w:val="none" w:sz="0" w:space="0" w:color="auto"/>
                                                                            <w:left w:val="none" w:sz="0" w:space="0" w:color="auto"/>
                                                                            <w:bottom w:val="none" w:sz="0" w:space="0" w:color="auto"/>
                                                                            <w:right w:val="none" w:sz="0" w:space="0" w:color="auto"/>
                                                                          </w:divBdr>
                                                                          <w:divsChild>
                                                                            <w:div w:id="809248873">
                                                                              <w:marLeft w:val="0"/>
                                                                              <w:marRight w:val="0"/>
                                                                              <w:marTop w:val="0"/>
                                                                              <w:marBottom w:val="0"/>
                                                                              <w:divBdr>
                                                                                <w:top w:val="none" w:sz="0" w:space="0" w:color="auto"/>
                                                                                <w:left w:val="none" w:sz="0" w:space="0" w:color="auto"/>
                                                                                <w:bottom w:val="none" w:sz="0" w:space="0" w:color="auto"/>
                                                                                <w:right w:val="none" w:sz="0" w:space="0" w:color="auto"/>
                                                                              </w:divBdr>
                                                                              <w:divsChild>
                                                                                <w:div w:id="690566653">
                                                                                  <w:marLeft w:val="0"/>
                                                                                  <w:marRight w:val="0"/>
                                                                                  <w:marTop w:val="0"/>
                                                                                  <w:marBottom w:val="0"/>
                                                                                  <w:divBdr>
                                                                                    <w:top w:val="none" w:sz="0" w:space="0" w:color="auto"/>
                                                                                    <w:left w:val="none" w:sz="0" w:space="0" w:color="auto"/>
                                                                                    <w:bottom w:val="none" w:sz="0" w:space="0" w:color="auto"/>
                                                                                    <w:right w:val="none" w:sz="0" w:space="0" w:color="auto"/>
                                                                                  </w:divBdr>
                                                                                  <w:divsChild>
                                                                                    <w:div w:id="152377300">
                                                                                      <w:marLeft w:val="0"/>
                                                                                      <w:marRight w:val="0"/>
                                                                                      <w:marTop w:val="0"/>
                                                                                      <w:marBottom w:val="120"/>
                                                                                      <w:divBdr>
                                                                                        <w:top w:val="none" w:sz="0" w:space="0" w:color="auto"/>
                                                                                        <w:left w:val="none" w:sz="0" w:space="0" w:color="auto"/>
                                                                                        <w:bottom w:val="none" w:sz="0" w:space="0" w:color="auto"/>
                                                                                        <w:right w:val="none" w:sz="0" w:space="0" w:color="auto"/>
                                                                                      </w:divBdr>
                                                                                      <w:divsChild>
                                                                                        <w:div w:id="398290298">
                                                                                          <w:marLeft w:val="0"/>
                                                                                          <w:marRight w:val="0"/>
                                                                                          <w:marTop w:val="0"/>
                                                                                          <w:marBottom w:val="0"/>
                                                                                          <w:divBdr>
                                                                                            <w:top w:val="none" w:sz="0" w:space="0" w:color="auto"/>
                                                                                            <w:left w:val="none" w:sz="0" w:space="0" w:color="auto"/>
                                                                                            <w:bottom w:val="none" w:sz="0" w:space="0" w:color="auto"/>
                                                                                            <w:right w:val="none" w:sz="0" w:space="0" w:color="auto"/>
                                                                                          </w:divBdr>
                                                                                          <w:divsChild>
                                                                                            <w:div w:id="179584575">
                                                                                              <w:marLeft w:val="0"/>
                                                                                              <w:marRight w:val="0"/>
                                                                                              <w:marTop w:val="0"/>
                                                                                              <w:marBottom w:val="0"/>
                                                                                              <w:divBdr>
                                                                                                <w:top w:val="none" w:sz="0" w:space="0" w:color="auto"/>
                                                                                                <w:left w:val="none" w:sz="0" w:space="0" w:color="auto"/>
                                                                                                <w:bottom w:val="none" w:sz="0" w:space="0" w:color="auto"/>
                                                                                                <w:right w:val="none" w:sz="0" w:space="0" w:color="auto"/>
                                                                                              </w:divBdr>
                                                                                            </w:div>
                                                                                            <w:div w:id="474835032">
                                                                                              <w:marLeft w:val="0"/>
                                                                                              <w:marRight w:val="0"/>
                                                                                              <w:marTop w:val="0"/>
                                                                                              <w:marBottom w:val="0"/>
                                                                                              <w:divBdr>
                                                                                                <w:top w:val="none" w:sz="0" w:space="0" w:color="auto"/>
                                                                                                <w:left w:val="none" w:sz="0" w:space="0" w:color="auto"/>
                                                                                                <w:bottom w:val="none" w:sz="0" w:space="0" w:color="auto"/>
                                                                                                <w:right w:val="none" w:sz="0" w:space="0" w:color="auto"/>
                                                                                              </w:divBdr>
                                                                                            </w:div>
                                                                                            <w:div w:id="15033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133445">
      <w:bodyDiv w:val="1"/>
      <w:marLeft w:val="0"/>
      <w:marRight w:val="0"/>
      <w:marTop w:val="0"/>
      <w:marBottom w:val="0"/>
      <w:divBdr>
        <w:top w:val="none" w:sz="0" w:space="0" w:color="auto"/>
        <w:left w:val="none" w:sz="0" w:space="0" w:color="auto"/>
        <w:bottom w:val="none" w:sz="0" w:space="0" w:color="auto"/>
        <w:right w:val="none" w:sz="0" w:space="0" w:color="auto"/>
      </w:divBdr>
      <w:divsChild>
        <w:div w:id="540672410">
          <w:marLeft w:val="0"/>
          <w:marRight w:val="0"/>
          <w:marTop w:val="0"/>
          <w:marBottom w:val="0"/>
          <w:divBdr>
            <w:top w:val="none" w:sz="0" w:space="0" w:color="auto"/>
            <w:left w:val="none" w:sz="0" w:space="0" w:color="auto"/>
            <w:bottom w:val="none" w:sz="0" w:space="0" w:color="auto"/>
            <w:right w:val="none" w:sz="0" w:space="0" w:color="auto"/>
          </w:divBdr>
        </w:div>
        <w:div w:id="607084507">
          <w:marLeft w:val="0"/>
          <w:marRight w:val="0"/>
          <w:marTop w:val="0"/>
          <w:marBottom w:val="0"/>
          <w:divBdr>
            <w:top w:val="none" w:sz="0" w:space="0" w:color="auto"/>
            <w:left w:val="none" w:sz="0" w:space="0" w:color="auto"/>
            <w:bottom w:val="none" w:sz="0" w:space="0" w:color="auto"/>
            <w:right w:val="none" w:sz="0" w:space="0" w:color="auto"/>
          </w:divBdr>
        </w:div>
        <w:div w:id="199552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015B3679A0849AAE0FF10A306E924" ma:contentTypeVersion="17" ma:contentTypeDescription="Create a new document." ma:contentTypeScope="" ma:versionID="b6f59eef0ff5f2fae1ca2b9d3fb9e32b">
  <xsd:schema xmlns:xsd="http://www.w3.org/2001/XMLSchema" xmlns:xs="http://www.w3.org/2001/XMLSchema" xmlns:p="http://schemas.microsoft.com/office/2006/metadata/properties" xmlns:ns2="edba4285-1898-45c4-88d4-256f8cce6a49" xmlns:ns3="e3804386-5120-47d8-9bb0-15718f26f846" targetNamespace="http://schemas.microsoft.com/office/2006/metadata/properties" ma:root="true" ma:fieldsID="a264fab939f476fba96a5e6e160c5432" ns2:_="" ns3:_="">
    <xsd:import namespace="edba4285-1898-45c4-88d4-256f8cce6a49"/>
    <xsd:import namespace="e3804386-5120-47d8-9bb0-15718f26f8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a4285-1898-45c4-88d4-256f8cce6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06b452-5c1d-4e09-a5b7-e1860d378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04386-5120-47d8-9bb0-15718f26f8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2ee96d-f5e1-4d55-a932-fa937154c107}" ma:internalName="TaxCatchAll" ma:showField="CatchAllData" ma:web="e3804386-5120-47d8-9bb0-15718f26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804386-5120-47d8-9bb0-15718f26f846">
      <UserInfo>
        <DisplayName>Rhianydd Z Thomas</DisplayName>
        <AccountId>1112</AccountId>
        <AccountType/>
      </UserInfo>
      <UserInfo>
        <DisplayName>Sarah Koniarski</DisplayName>
        <AccountId>18</AccountId>
        <AccountType/>
      </UserInfo>
    </SharedWithUsers>
    <lcf76f155ced4ddcb4097134ff3c332f xmlns="edba4285-1898-45c4-88d4-256f8cce6a49">
      <Terms xmlns="http://schemas.microsoft.com/office/infopath/2007/PartnerControls"/>
    </lcf76f155ced4ddcb4097134ff3c332f>
    <TaxCatchAll xmlns="e3804386-5120-47d8-9bb0-15718f26f8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8C78-67CB-4872-97F7-A36B27C69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a4285-1898-45c4-88d4-256f8cce6a49"/>
    <ds:schemaRef ds:uri="e3804386-5120-47d8-9bb0-15718f26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3BA59-D78B-4823-9B61-F3816E7EF0AE}">
  <ds:schemaRefs>
    <ds:schemaRef ds:uri="http://schemas.microsoft.com/sharepoint/v3/contenttype/forms"/>
  </ds:schemaRefs>
</ds:datastoreItem>
</file>

<file path=customXml/itemProps3.xml><?xml version="1.0" encoding="utf-8"?>
<ds:datastoreItem xmlns:ds="http://schemas.openxmlformats.org/officeDocument/2006/customXml" ds:itemID="{622CAA87-B0BE-4068-B25B-C35A23761938}">
  <ds:schemaRefs>
    <ds:schemaRef ds:uri="http://schemas.microsoft.com/office/2006/metadata/properties"/>
    <ds:schemaRef ds:uri="http://schemas.microsoft.com/office/infopath/2007/PartnerControls"/>
    <ds:schemaRef ds:uri="e3804386-5120-47d8-9bb0-15718f26f846"/>
    <ds:schemaRef ds:uri="edba4285-1898-45c4-88d4-256f8cce6a49"/>
  </ds:schemaRefs>
</ds:datastoreItem>
</file>

<file path=customXml/itemProps4.xml><?xml version="1.0" encoding="utf-8"?>
<ds:datastoreItem xmlns:ds="http://schemas.openxmlformats.org/officeDocument/2006/customXml" ds:itemID="{D2771BC3-E870-4AB8-8FA9-944DDF099BF3}">
  <ds:schemaRefs>
    <ds:schemaRef ds:uri="http://schemas.openxmlformats.org/officeDocument/2006/bibliography"/>
  </ds:schemaRefs>
</ds:datastoreItem>
</file>

<file path=docMetadata/LabelInfo.xml><?xml version="1.0" encoding="utf-8"?>
<clbl:labelList xmlns:clbl="http://schemas.microsoft.com/office/2020/mipLabelMetadata">
  <clbl:label id="{7f60ea22-988f-4e8e-af67-a4672af804ce}" enabled="1" method="Privileged" siteId="{6b3c4bb2-6f26-45af-97b3-fded2a7a60f9}" removed="0"/>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3651</Words>
  <Characters>20816</Characters>
  <Application>Microsoft Office Word</Application>
  <DocSecurity>0</DocSecurity>
  <Lines>173</Lines>
  <Paragraphs>48</Paragraphs>
  <ScaleCrop>false</ScaleCrop>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Alwen Lyons</dc:creator>
  <cp:keywords/>
  <dc:description/>
  <cp:lastModifiedBy>Rubia Khanom</cp:lastModifiedBy>
  <cp:revision>37</cp:revision>
  <cp:lastPrinted>2020-03-09T16:36:00Z</cp:lastPrinted>
  <dcterms:created xsi:type="dcterms:W3CDTF">2026-06-16T14:14:00Z</dcterms:created>
  <dcterms:modified xsi:type="dcterms:W3CDTF">2026-07-02T10:36:00Z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0x010100CBF015B3679A0849AAE0FF10A306E924</vt:lpwstr>
  </property>
  <property fmtid="{D5CDD505-2E9C-101B-9397-08002B2CF9AE}" pid="3" name="Order">
    <vt:r8>1852300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SharedWithUsers">
    <vt:lpwstr/>
  </property>
  <property fmtid="{D5CDD505-2E9C-101B-9397-08002B2CF9AE}" pid="9" name="MediaServiceImageTags">
    <vt:lpwstr/>
  </property>
  <property fmtid="{D5CDD505-2E9C-101B-9397-08002B2CF9AE}" pid="10" name="ClassificationContentMarkingHeaderShapeIds">
    <vt:lpwstr>1,2,3</vt:lpwstr>
  </property>
  <property fmtid="{D5CDD505-2E9C-101B-9397-08002B2CF9AE}" pid="11" name="ClassificationContentMarkingHeaderFontProps">
    <vt:lpwstr>#737373,10,Calibri</vt:lpwstr>
  </property>
  <property fmtid="{D5CDD505-2E9C-101B-9397-08002B2CF9AE}" pid="12" name="ClassificationContentMarkingHeaderText">
    <vt:lpwstr>Post Office Limited - Document Classification: PUBLIC</vt:lpwstr>
  </property>
  <property fmtid="{D5CDD505-2E9C-101B-9397-08002B2CF9AE}" pid="13" name="MSIP_Label_7f60ea22-988f-4e8e-af67-a4672af804ce_Enabled">
    <vt:lpwstr>true</vt:lpwstr>
  </property>
  <property fmtid="{D5CDD505-2E9C-101B-9397-08002B2CF9AE}" pid="14" name="MSIP_Label_7f60ea22-988f-4e8e-af67-a4672af804ce_SetDate">
    <vt:lpwstr>2024-07-30T16:58:08Z</vt:lpwstr>
  </property>
  <property fmtid="{D5CDD505-2E9C-101B-9397-08002B2CF9AE}" pid="15" name="MSIP_Label_7f60ea22-988f-4e8e-af67-a4672af804ce_Method">
    <vt:lpwstr>Privileged</vt:lpwstr>
  </property>
  <property fmtid="{D5CDD505-2E9C-101B-9397-08002B2CF9AE}" pid="16" name="MSIP_Label_7f60ea22-988f-4e8e-af67-a4672af804ce_Name">
    <vt:lpwstr>7f60ea22-988f-4e8e-af67-a4672af804ce</vt:lpwstr>
  </property>
  <property fmtid="{D5CDD505-2E9C-101B-9397-08002B2CF9AE}" pid="17" name="MSIP_Label_7f60ea22-988f-4e8e-af67-a4672af804ce_SiteId">
    <vt:lpwstr>6b3c4bb2-6f26-45af-97b3-fded2a7a60f9</vt:lpwstr>
  </property>
  <property fmtid="{D5CDD505-2E9C-101B-9397-08002B2CF9AE}" pid="18" name="MSIP_Label_7f60ea22-988f-4e8e-af67-a4672af804ce_ActionId">
    <vt:lpwstr>63893a9a-cd6e-43c1-94e7-149b4ef200c2</vt:lpwstr>
  </property>
  <property fmtid="{D5CDD505-2E9C-101B-9397-08002B2CF9AE}" pid="19" name="MSIP_Label_7f60ea22-988f-4e8e-af67-a4672af804ce_ContentBits">
    <vt:lpwstr>1</vt:lpwstr>
  </property>
</Properties>
</file>