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106" w:type="dxa"/>
        <w:tblInd w:w="-431" w:type="dxa"/>
        <w:tblLayout w:type="fixed"/>
        <w:tblLook w:val="04A0" w:firstRow="1" w:lastRow="0" w:firstColumn="1" w:lastColumn="0" w:noHBand="0" w:noVBand="1"/>
      </w:tblPr>
      <w:tblGrid>
        <w:gridCol w:w="5388"/>
        <w:gridCol w:w="1701"/>
        <w:gridCol w:w="1559"/>
        <w:gridCol w:w="1477"/>
        <w:gridCol w:w="1723"/>
        <w:gridCol w:w="1851"/>
        <w:gridCol w:w="1851"/>
        <w:gridCol w:w="1852"/>
        <w:gridCol w:w="5704"/>
      </w:tblGrid>
      <w:tr w:rsidR="006E200D" w:rsidRPr="00733988" w14:paraId="4743BE05" w14:textId="166142E7" w:rsidTr="002E77C3">
        <w:trPr>
          <w:gridAfter w:val="7"/>
          <w:wAfter w:w="16017" w:type="dxa"/>
          <w:trHeight w:val="219"/>
          <w:tblHeader/>
        </w:trPr>
        <w:tc>
          <w:tcPr>
            <w:tcW w:w="5388" w:type="dxa"/>
            <w:vMerge w:val="restart"/>
            <w:vAlign w:val="center"/>
          </w:tcPr>
          <w:p w14:paraId="1B7228D7" w14:textId="64F26B1A" w:rsidR="006E200D" w:rsidRPr="00733988" w:rsidRDefault="006E200D" w:rsidP="00090ACE">
            <w:pPr>
              <w:rPr>
                <w:rFonts w:ascii="Verdana" w:hAnsi="Verdana"/>
                <w:b/>
                <w:sz w:val="18"/>
              </w:rPr>
            </w:pPr>
            <w:r w:rsidRPr="0075794F">
              <w:rPr>
                <w:rFonts w:ascii="Verdana" w:hAnsi="Verdana"/>
                <w:b/>
                <w:sz w:val="28"/>
                <w:szCs w:val="28"/>
              </w:rPr>
              <w:t>Decision</w:t>
            </w:r>
          </w:p>
        </w:tc>
        <w:tc>
          <w:tcPr>
            <w:tcW w:w="1701" w:type="dxa"/>
          </w:tcPr>
          <w:p w14:paraId="2C505C08" w14:textId="77777777" w:rsidR="006E200D" w:rsidRPr="0075794F" w:rsidRDefault="006E200D" w:rsidP="00090ACE">
            <w:pPr>
              <w:rPr>
                <w:rFonts w:ascii="Verdana" w:hAnsi="Verdana"/>
                <w:b/>
                <w:sz w:val="28"/>
                <w:szCs w:val="28"/>
              </w:rPr>
            </w:pPr>
          </w:p>
        </w:tc>
      </w:tr>
      <w:tr w:rsidR="006E200D" w:rsidRPr="00733988" w14:paraId="652BE36F" w14:textId="19C62AA0" w:rsidTr="002A7D70">
        <w:trPr>
          <w:trHeight w:val="208"/>
          <w:tblHeader/>
        </w:trPr>
        <w:tc>
          <w:tcPr>
            <w:tcW w:w="5388" w:type="dxa"/>
            <w:vMerge/>
            <w:vAlign w:val="center"/>
          </w:tcPr>
          <w:p w14:paraId="7D6CFCD0" w14:textId="66E372D2" w:rsidR="006E200D" w:rsidRPr="00733988" w:rsidRDefault="006E200D" w:rsidP="00090ACE">
            <w:pPr>
              <w:jc w:val="center"/>
              <w:rPr>
                <w:rFonts w:ascii="Verdana" w:hAnsi="Verdana"/>
                <w:b/>
                <w:sz w:val="18"/>
              </w:rPr>
            </w:pPr>
          </w:p>
        </w:tc>
        <w:tc>
          <w:tcPr>
            <w:tcW w:w="1701" w:type="dxa"/>
            <w:vMerge w:val="restart"/>
            <w:vAlign w:val="center"/>
          </w:tcPr>
          <w:p w14:paraId="48D367EC" w14:textId="3D6C10B6" w:rsidR="006E200D" w:rsidRPr="00F27A9F" w:rsidRDefault="006E200D" w:rsidP="007D1EFB">
            <w:pPr>
              <w:jc w:val="center"/>
              <w:rPr>
                <w:rFonts w:ascii="Verdana" w:hAnsi="Verdana"/>
                <w:b/>
                <w:sz w:val="15"/>
                <w:szCs w:val="15"/>
              </w:rPr>
            </w:pPr>
          </w:p>
          <w:p w14:paraId="3E942F10" w14:textId="75C9DAC0" w:rsidR="006E200D" w:rsidRDefault="006E200D" w:rsidP="007D1EFB">
            <w:pPr>
              <w:jc w:val="center"/>
              <w:rPr>
                <w:rFonts w:ascii="Verdana" w:hAnsi="Verdana"/>
                <w:b/>
                <w:sz w:val="15"/>
                <w:szCs w:val="15"/>
              </w:rPr>
            </w:pPr>
          </w:p>
          <w:p w14:paraId="2B3FBAA8" w14:textId="48CDFE8D" w:rsidR="006E200D" w:rsidRPr="00F27A9F" w:rsidRDefault="006E200D" w:rsidP="007D1EFB">
            <w:pPr>
              <w:jc w:val="center"/>
              <w:rPr>
                <w:rFonts w:ascii="Verdana" w:hAnsi="Verdana"/>
                <w:b/>
                <w:sz w:val="15"/>
                <w:szCs w:val="15"/>
              </w:rPr>
            </w:pPr>
            <w:r>
              <w:rPr>
                <w:rFonts w:ascii="Verdana" w:hAnsi="Verdana"/>
                <w:b/>
                <w:sz w:val="15"/>
                <w:szCs w:val="15"/>
              </w:rPr>
              <w:t>Executive Committee (EC)</w:t>
            </w:r>
            <w:r w:rsidR="00D46059">
              <w:rPr>
                <w:rStyle w:val="FootnoteReference"/>
                <w:rFonts w:ascii="Verdana" w:hAnsi="Verdana"/>
                <w:b/>
                <w:sz w:val="15"/>
                <w:szCs w:val="15"/>
              </w:rPr>
              <w:footnoteReference w:id="2"/>
            </w:r>
          </w:p>
        </w:tc>
        <w:tc>
          <w:tcPr>
            <w:tcW w:w="6610" w:type="dxa"/>
            <w:gridSpan w:val="4"/>
            <w:vAlign w:val="center"/>
          </w:tcPr>
          <w:p w14:paraId="72D24312" w14:textId="4DD6F1CC" w:rsidR="006E200D" w:rsidRPr="00F27A9F" w:rsidRDefault="006E200D" w:rsidP="007D1EFB">
            <w:pPr>
              <w:jc w:val="center"/>
              <w:rPr>
                <w:rFonts w:ascii="Verdana" w:hAnsi="Verdana"/>
                <w:b/>
                <w:sz w:val="15"/>
                <w:szCs w:val="15"/>
              </w:rPr>
            </w:pPr>
            <w:r>
              <w:rPr>
                <w:rFonts w:ascii="Verdana" w:hAnsi="Verdana"/>
                <w:b/>
                <w:sz w:val="15"/>
                <w:szCs w:val="15"/>
              </w:rPr>
              <w:t xml:space="preserve">POL </w:t>
            </w:r>
            <w:r w:rsidRPr="00F27A9F">
              <w:rPr>
                <w:rFonts w:ascii="Verdana" w:hAnsi="Verdana"/>
                <w:b/>
                <w:sz w:val="15"/>
                <w:szCs w:val="15"/>
              </w:rPr>
              <w:t>Board Committee</w:t>
            </w:r>
            <w:r>
              <w:rPr>
                <w:rFonts w:ascii="Verdana" w:hAnsi="Verdana"/>
                <w:b/>
                <w:sz w:val="15"/>
                <w:szCs w:val="15"/>
              </w:rPr>
              <w:t>s</w:t>
            </w:r>
            <w:r>
              <w:rPr>
                <w:rStyle w:val="FootnoteReference"/>
                <w:rFonts w:ascii="Verdana" w:hAnsi="Verdana"/>
                <w:b/>
                <w:sz w:val="15"/>
                <w:szCs w:val="15"/>
              </w:rPr>
              <w:footnoteReference w:id="3"/>
            </w:r>
          </w:p>
        </w:tc>
        <w:tc>
          <w:tcPr>
            <w:tcW w:w="1851" w:type="dxa"/>
            <w:vAlign w:val="center"/>
          </w:tcPr>
          <w:p w14:paraId="02EE4111" w14:textId="2B122997" w:rsidR="006E200D" w:rsidRPr="00F27A9F" w:rsidRDefault="006E200D" w:rsidP="007D1EFB">
            <w:pPr>
              <w:jc w:val="center"/>
              <w:rPr>
                <w:rFonts w:ascii="Verdana" w:hAnsi="Verdana"/>
                <w:b/>
                <w:sz w:val="15"/>
                <w:szCs w:val="15"/>
              </w:rPr>
            </w:pPr>
          </w:p>
        </w:tc>
        <w:tc>
          <w:tcPr>
            <w:tcW w:w="1852" w:type="dxa"/>
            <w:vAlign w:val="center"/>
          </w:tcPr>
          <w:p w14:paraId="7B5F8888" w14:textId="1DF1ECDC" w:rsidR="006E200D" w:rsidRPr="00F27A9F" w:rsidRDefault="006E200D" w:rsidP="007D1EFB">
            <w:pPr>
              <w:jc w:val="center"/>
              <w:rPr>
                <w:rFonts w:ascii="Verdana" w:hAnsi="Verdana"/>
                <w:b/>
                <w:sz w:val="15"/>
                <w:szCs w:val="15"/>
              </w:rPr>
            </w:pPr>
          </w:p>
        </w:tc>
        <w:tc>
          <w:tcPr>
            <w:tcW w:w="5704" w:type="dxa"/>
            <w:vAlign w:val="center"/>
          </w:tcPr>
          <w:p w14:paraId="315E934C" w14:textId="77777777" w:rsidR="006E200D" w:rsidRPr="00F27A9F" w:rsidRDefault="006E200D" w:rsidP="00733988">
            <w:pPr>
              <w:jc w:val="center"/>
              <w:rPr>
                <w:rFonts w:ascii="Verdana" w:hAnsi="Verdana"/>
                <w:b/>
                <w:sz w:val="15"/>
                <w:szCs w:val="15"/>
              </w:rPr>
            </w:pPr>
          </w:p>
          <w:p w14:paraId="625DEC14" w14:textId="2018775A" w:rsidR="006E200D" w:rsidRPr="00F27A9F" w:rsidRDefault="006E200D" w:rsidP="00090ACE">
            <w:pPr>
              <w:ind w:right="175"/>
              <w:jc w:val="center"/>
              <w:rPr>
                <w:rFonts w:ascii="Verdana" w:hAnsi="Verdana"/>
                <w:b/>
                <w:sz w:val="15"/>
                <w:szCs w:val="15"/>
              </w:rPr>
            </w:pPr>
          </w:p>
        </w:tc>
      </w:tr>
      <w:tr w:rsidR="006E200D" w:rsidRPr="00733988" w14:paraId="655DF971" w14:textId="3E1E8014" w:rsidTr="002A7D70">
        <w:trPr>
          <w:cantSplit/>
          <w:trHeight w:val="1133"/>
          <w:tblHeader/>
        </w:trPr>
        <w:tc>
          <w:tcPr>
            <w:tcW w:w="5388" w:type="dxa"/>
            <w:vMerge/>
            <w:vAlign w:val="center"/>
          </w:tcPr>
          <w:p w14:paraId="3F78CC10" w14:textId="15FEF8F9" w:rsidR="006E200D" w:rsidRPr="00733988" w:rsidRDefault="006E200D" w:rsidP="00090ACE">
            <w:pPr>
              <w:jc w:val="center"/>
              <w:rPr>
                <w:rFonts w:ascii="Verdana" w:hAnsi="Verdana"/>
                <w:b/>
                <w:sz w:val="18"/>
              </w:rPr>
            </w:pPr>
          </w:p>
        </w:tc>
        <w:tc>
          <w:tcPr>
            <w:tcW w:w="1701" w:type="dxa"/>
            <w:vMerge/>
            <w:vAlign w:val="center"/>
          </w:tcPr>
          <w:p w14:paraId="7F89C4C3" w14:textId="09B8AA62" w:rsidR="006E200D" w:rsidRPr="00F27A9F" w:rsidRDefault="006E200D" w:rsidP="007D1EFB">
            <w:pPr>
              <w:jc w:val="center"/>
              <w:rPr>
                <w:rFonts w:ascii="Verdana" w:hAnsi="Verdana"/>
                <w:b/>
                <w:sz w:val="15"/>
                <w:szCs w:val="15"/>
              </w:rPr>
            </w:pPr>
          </w:p>
        </w:tc>
        <w:tc>
          <w:tcPr>
            <w:tcW w:w="1559" w:type="dxa"/>
            <w:vAlign w:val="center"/>
          </w:tcPr>
          <w:p w14:paraId="67A720E4" w14:textId="2EA0265D" w:rsidR="006E200D" w:rsidRPr="00F27A9F" w:rsidRDefault="006E200D" w:rsidP="004A4AA6">
            <w:pPr>
              <w:jc w:val="center"/>
              <w:rPr>
                <w:rFonts w:ascii="Verdana" w:hAnsi="Verdana"/>
                <w:b/>
                <w:sz w:val="15"/>
                <w:szCs w:val="15"/>
              </w:rPr>
            </w:pPr>
            <w:r w:rsidRPr="00F27A9F">
              <w:rPr>
                <w:rFonts w:ascii="Verdana" w:hAnsi="Verdana"/>
                <w:b/>
                <w:sz w:val="15"/>
                <w:szCs w:val="15"/>
              </w:rPr>
              <w:t>Audit Risk &amp; Compliance Committee (ARC)</w:t>
            </w:r>
          </w:p>
        </w:tc>
        <w:tc>
          <w:tcPr>
            <w:tcW w:w="1477" w:type="dxa"/>
            <w:vAlign w:val="center"/>
          </w:tcPr>
          <w:p w14:paraId="677DD05B" w14:textId="38912E14" w:rsidR="006E200D" w:rsidRPr="00F27A9F" w:rsidRDefault="006E200D" w:rsidP="004A4AA6">
            <w:pPr>
              <w:jc w:val="center"/>
              <w:rPr>
                <w:rFonts w:ascii="Verdana" w:hAnsi="Verdana"/>
                <w:b/>
                <w:sz w:val="15"/>
                <w:szCs w:val="15"/>
              </w:rPr>
            </w:pPr>
            <w:r w:rsidRPr="00F27A9F">
              <w:rPr>
                <w:rFonts w:ascii="Verdana" w:hAnsi="Verdana"/>
                <w:b/>
                <w:sz w:val="15"/>
                <w:szCs w:val="15"/>
              </w:rPr>
              <w:t>Nominations Committee</w:t>
            </w:r>
          </w:p>
          <w:p w14:paraId="11A5BE4C" w14:textId="638156EC" w:rsidR="006E200D" w:rsidRPr="00F27A9F" w:rsidRDefault="006E200D" w:rsidP="004A4AA6">
            <w:pPr>
              <w:jc w:val="center"/>
              <w:rPr>
                <w:rFonts w:ascii="Verdana" w:hAnsi="Verdana"/>
                <w:b/>
                <w:sz w:val="15"/>
                <w:szCs w:val="15"/>
              </w:rPr>
            </w:pPr>
            <w:r w:rsidRPr="00F27A9F">
              <w:rPr>
                <w:rFonts w:ascii="Verdana" w:hAnsi="Verdana"/>
                <w:b/>
                <w:sz w:val="15"/>
                <w:szCs w:val="15"/>
              </w:rPr>
              <w:t>(NomCo)</w:t>
            </w:r>
          </w:p>
        </w:tc>
        <w:tc>
          <w:tcPr>
            <w:tcW w:w="1723" w:type="dxa"/>
            <w:vAlign w:val="center"/>
          </w:tcPr>
          <w:p w14:paraId="6BF7A375" w14:textId="5EDCC975" w:rsidR="006E200D" w:rsidRPr="00F27A9F" w:rsidRDefault="006E200D" w:rsidP="004A4AA6">
            <w:pPr>
              <w:jc w:val="center"/>
              <w:rPr>
                <w:rFonts w:ascii="Verdana" w:hAnsi="Verdana"/>
                <w:b/>
                <w:sz w:val="15"/>
                <w:szCs w:val="15"/>
              </w:rPr>
            </w:pPr>
            <w:r w:rsidRPr="00F27A9F">
              <w:rPr>
                <w:rFonts w:ascii="Verdana" w:hAnsi="Verdana"/>
                <w:b/>
                <w:sz w:val="15"/>
                <w:szCs w:val="15"/>
              </w:rPr>
              <w:t>Remuneration Committee</w:t>
            </w:r>
            <w:r>
              <w:rPr>
                <w:rStyle w:val="FootnoteReference"/>
                <w:rFonts w:ascii="Verdana" w:hAnsi="Verdana"/>
                <w:b/>
                <w:sz w:val="15"/>
                <w:szCs w:val="15"/>
              </w:rPr>
              <w:footnoteReference w:id="4"/>
            </w:r>
            <w:r w:rsidRPr="00F27A9F">
              <w:rPr>
                <w:rFonts w:ascii="Verdana" w:hAnsi="Verdana"/>
                <w:b/>
                <w:sz w:val="15"/>
                <w:szCs w:val="15"/>
              </w:rPr>
              <w:t xml:space="preserve"> (RemCo)</w:t>
            </w:r>
          </w:p>
        </w:tc>
        <w:tc>
          <w:tcPr>
            <w:tcW w:w="1851" w:type="dxa"/>
          </w:tcPr>
          <w:p w14:paraId="3E589EA4" w14:textId="77777777" w:rsidR="006E200D" w:rsidRDefault="006E200D" w:rsidP="00D1093B">
            <w:pPr>
              <w:jc w:val="center"/>
              <w:rPr>
                <w:rFonts w:ascii="Verdana" w:hAnsi="Verdana"/>
                <w:b/>
                <w:sz w:val="15"/>
                <w:szCs w:val="15"/>
              </w:rPr>
            </w:pPr>
          </w:p>
          <w:p w14:paraId="467414AF" w14:textId="77777777" w:rsidR="004A4AA6" w:rsidRDefault="004A4AA6" w:rsidP="00D1093B">
            <w:pPr>
              <w:jc w:val="center"/>
              <w:rPr>
                <w:rFonts w:ascii="Verdana" w:hAnsi="Verdana"/>
                <w:b/>
                <w:sz w:val="15"/>
                <w:szCs w:val="15"/>
              </w:rPr>
            </w:pPr>
          </w:p>
          <w:p w14:paraId="1E705051" w14:textId="77777777" w:rsidR="004A4AA6" w:rsidRDefault="004A4AA6" w:rsidP="00D1093B">
            <w:pPr>
              <w:jc w:val="center"/>
              <w:rPr>
                <w:rFonts w:ascii="Verdana" w:hAnsi="Verdana"/>
                <w:b/>
                <w:sz w:val="15"/>
                <w:szCs w:val="15"/>
              </w:rPr>
            </w:pPr>
          </w:p>
          <w:p w14:paraId="346196AE" w14:textId="66CE967E" w:rsidR="004A4AA6" w:rsidRDefault="004A4AA6" w:rsidP="00D1093B">
            <w:pPr>
              <w:jc w:val="center"/>
              <w:rPr>
                <w:rFonts w:ascii="Verdana" w:hAnsi="Verdana"/>
                <w:b/>
                <w:sz w:val="15"/>
                <w:szCs w:val="15"/>
              </w:rPr>
            </w:pPr>
            <w:r>
              <w:rPr>
                <w:rFonts w:ascii="Verdana" w:hAnsi="Verdana"/>
                <w:b/>
                <w:sz w:val="15"/>
                <w:szCs w:val="15"/>
              </w:rPr>
              <w:t>Transformation Committee</w:t>
            </w:r>
          </w:p>
          <w:p w14:paraId="1DD3AE10" w14:textId="77777777" w:rsidR="004A4AA6" w:rsidRPr="00F27A9F" w:rsidRDefault="004A4AA6" w:rsidP="00D1093B">
            <w:pPr>
              <w:jc w:val="center"/>
              <w:rPr>
                <w:rFonts w:ascii="Verdana" w:hAnsi="Verdana"/>
                <w:b/>
                <w:sz w:val="15"/>
                <w:szCs w:val="15"/>
              </w:rPr>
            </w:pPr>
          </w:p>
        </w:tc>
        <w:tc>
          <w:tcPr>
            <w:tcW w:w="1851" w:type="dxa"/>
            <w:vAlign w:val="center"/>
          </w:tcPr>
          <w:p w14:paraId="1D91B1D9" w14:textId="3AE27C9F" w:rsidR="006E200D" w:rsidRPr="00F27A9F" w:rsidRDefault="006E200D" w:rsidP="00D1093B">
            <w:pPr>
              <w:jc w:val="center"/>
              <w:rPr>
                <w:rFonts w:ascii="Verdana" w:hAnsi="Verdana"/>
                <w:b/>
                <w:sz w:val="15"/>
                <w:szCs w:val="15"/>
              </w:rPr>
            </w:pPr>
            <w:r w:rsidRPr="00F27A9F">
              <w:rPr>
                <w:rFonts w:ascii="Verdana" w:hAnsi="Verdana"/>
                <w:b/>
                <w:sz w:val="15"/>
                <w:szCs w:val="15"/>
              </w:rPr>
              <w:t>POL Board</w:t>
            </w:r>
          </w:p>
        </w:tc>
        <w:tc>
          <w:tcPr>
            <w:tcW w:w="1852" w:type="dxa"/>
            <w:vAlign w:val="center"/>
          </w:tcPr>
          <w:p w14:paraId="65C88758" w14:textId="1F1475FC" w:rsidR="006E200D" w:rsidRPr="00F27A9F" w:rsidRDefault="006E200D" w:rsidP="00D1093B">
            <w:pPr>
              <w:jc w:val="center"/>
              <w:rPr>
                <w:rFonts w:ascii="Verdana" w:hAnsi="Verdana"/>
                <w:sz w:val="15"/>
                <w:szCs w:val="15"/>
              </w:rPr>
            </w:pPr>
            <w:r w:rsidRPr="00F27A9F">
              <w:rPr>
                <w:rFonts w:ascii="Verdana" w:hAnsi="Verdana"/>
                <w:b/>
                <w:sz w:val="15"/>
                <w:szCs w:val="15"/>
              </w:rPr>
              <w:t>Shareholder (DBT)</w:t>
            </w:r>
          </w:p>
        </w:tc>
        <w:tc>
          <w:tcPr>
            <w:tcW w:w="5704" w:type="dxa"/>
            <w:vAlign w:val="center"/>
          </w:tcPr>
          <w:p w14:paraId="33245728" w14:textId="6BA9E582" w:rsidR="006E200D" w:rsidRPr="00F27A9F" w:rsidRDefault="006E200D" w:rsidP="00D1093B">
            <w:pPr>
              <w:jc w:val="center"/>
              <w:rPr>
                <w:rFonts w:ascii="Verdana" w:hAnsi="Verdana"/>
                <w:b/>
                <w:sz w:val="15"/>
                <w:szCs w:val="15"/>
              </w:rPr>
            </w:pPr>
            <w:r w:rsidRPr="00F27A9F">
              <w:rPr>
                <w:rFonts w:ascii="Verdana" w:hAnsi="Verdana"/>
                <w:b/>
                <w:sz w:val="15"/>
                <w:szCs w:val="15"/>
              </w:rPr>
              <w:t>Notes</w:t>
            </w:r>
          </w:p>
        </w:tc>
      </w:tr>
      <w:tr w:rsidR="00E1254C" w:rsidRPr="00733988" w14:paraId="4E756FCC" w14:textId="77777777" w:rsidTr="003F42D7">
        <w:trPr>
          <w:trHeight w:val="316"/>
        </w:trPr>
        <w:tc>
          <w:tcPr>
            <w:tcW w:w="23106" w:type="dxa"/>
            <w:gridSpan w:val="9"/>
            <w:shd w:val="clear" w:color="auto" w:fill="D0CECE" w:themeFill="background2" w:themeFillShade="E6"/>
          </w:tcPr>
          <w:p w14:paraId="72A2110F" w14:textId="7C5407E1" w:rsidR="00E1254C" w:rsidRPr="00E1254C" w:rsidRDefault="00E1254C" w:rsidP="00E1254C">
            <w:pPr>
              <w:pStyle w:val="ListParagraph"/>
              <w:numPr>
                <w:ilvl w:val="0"/>
                <w:numId w:val="37"/>
              </w:numPr>
              <w:rPr>
                <w:rStyle w:val="normaltextrun"/>
                <w:rFonts w:ascii="Verdana" w:hAnsi="Verdana"/>
                <w:b/>
                <w:bCs/>
                <w:color w:val="000000"/>
                <w:sz w:val="18"/>
                <w:szCs w:val="18"/>
                <w:shd w:val="clear" w:color="auto" w:fill="FFFFFF"/>
              </w:rPr>
            </w:pPr>
            <w:r w:rsidRPr="003F42D7">
              <w:rPr>
                <w:rStyle w:val="normaltextrun"/>
                <w:rFonts w:ascii="Verdana" w:hAnsi="Verdana"/>
                <w:b/>
                <w:bCs/>
                <w:color w:val="000000"/>
                <w:sz w:val="18"/>
                <w:szCs w:val="18"/>
                <w:highlight w:val="lightGray"/>
                <w:shd w:val="clear" w:color="auto" w:fill="FFFFFF"/>
              </w:rPr>
              <w:t>Strategy &amp; Management</w:t>
            </w:r>
          </w:p>
        </w:tc>
      </w:tr>
      <w:tr w:rsidR="006E200D" w:rsidRPr="00733988" w14:paraId="658AADB7" w14:textId="045341B3" w:rsidTr="006E200D">
        <w:trPr>
          <w:trHeight w:val="551"/>
        </w:trPr>
        <w:tc>
          <w:tcPr>
            <w:tcW w:w="5388" w:type="dxa"/>
          </w:tcPr>
          <w:p w14:paraId="1571EE2E" w14:textId="118A4924" w:rsidR="006E200D" w:rsidRPr="00E1254C" w:rsidRDefault="006E200D" w:rsidP="006F38E2">
            <w:pPr>
              <w:pStyle w:val="ListParagraph"/>
              <w:numPr>
                <w:ilvl w:val="1"/>
                <w:numId w:val="24"/>
              </w:numPr>
              <w:ind w:left="459" w:hanging="460"/>
              <w:rPr>
                <w:rFonts w:ascii="Verdana" w:hAnsi="Verdana"/>
                <w:color w:val="FF0000"/>
                <w:sz w:val="18"/>
                <w:szCs w:val="18"/>
              </w:rPr>
            </w:pPr>
            <w:r w:rsidRPr="00E1254C">
              <w:rPr>
                <w:rFonts w:ascii="Verdana" w:hAnsi="Verdana"/>
                <w:sz w:val="18"/>
                <w:szCs w:val="18"/>
              </w:rPr>
              <w:t xml:space="preserve">Adoption of, or material variation to, the Group Strategic Plan (every three years) </w:t>
            </w:r>
            <w:r w:rsidRPr="00E1254C">
              <w:rPr>
                <w:rFonts w:ascii="Verdana" w:hAnsi="Verdana"/>
                <w:color w:val="FF0000"/>
                <w:sz w:val="18"/>
                <w:szCs w:val="18"/>
              </w:rPr>
              <w:t xml:space="preserve"> </w:t>
            </w:r>
            <w:r w:rsidRPr="00E1254C">
              <w:rPr>
                <w:rFonts w:ascii="Verdana" w:hAnsi="Verdana"/>
                <w:sz w:val="18"/>
                <w:szCs w:val="18"/>
              </w:rPr>
              <w:t xml:space="preserve">(Article 8.1 (U), Article 46, FD section </w:t>
            </w:r>
            <w:r w:rsidR="00F540EA">
              <w:rPr>
                <w:rFonts w:ascii="Verdana" w:hAnsi="Verdana"/>
                <w:sz w:val="18"/>
                <w:szCs w:val="18"/>
              </w:rPr>
              <w:t>32</w:t>
            </w:r>
            <w:r w:rsidRPr="00E1254C">
              <w:rPr>
                <w:rFonts w:ascii="Verdana" w:hAnsi="Verdana"/>
                <w:sz w:val="18"/>
                <w:szCs w:val="18"/>
              </w:rPr>
              <w:t>)</w:t>
            </w:r>
          </w:p>
        </w:tc>
        <w:tc>
          <w:tcPr>
            <w:tcW w:w="1701" w:type="dxa"/>
            <w:vAlign w:val="center"/>
          </w:tcPr>
          <w:p w14:paraId="45B581E9" w14:textId="2180B270" w:rsidR="006E200D" w:rsidRPr="00BC2D08" w:rsidRDefault="006E200D" w:rsidP="00BC2D08">
            <w:pPr>
              <w:pStyle w:val="ListParagraph"/>
              <w:ind w:left="34"/>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77E9A6DE" w14:textId="32F0FAB1" w:rsidR="006E200D" w:rsidRPr="00BC2D08" w:rsidRDefault="006E200D" w:rsidP="006F38E2">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B094A77" w14:textId="4D8BC2AA" w:rsidR="006E200D" w:rsidRPr="00BC2D08" w:rsidRDefault="006E200D" w:rsidP="006F38E2">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6153D283" w14:textId="2EE2687F" w:rsidR="006E200D" w:rsidRPr="00BC2D08" w:rsidRDefault="006E200D" w:rsidP="006F38E2">
            <w:pPr>
              <w:pStyle w:val="ListParagraph"/>
              <w:ind w:left="33"/>
              <w:jc w:val="center"/>
              <w:rPr>
                <w:rFonts w:ascii="Verdana" w:hAnsi="Verdana"/>
                <w:sz w:val="15"/>
                <w:szCs w:val="15"/>
              </w:rPr>
            </w:pPr>
            <w:r w:rsidRPr="00BC2D08">
              <w:rPr>
                <w:rFonts w:ascii="Verdana" w:hAnsi="Verdana"/>
                <w:sz w:val="15"/>
                <w:szCs w:val="15"/>
              </w:rPr>
              <w:t>-</w:t>
            </w:r>
          </w:p>
        </w:tc>
        <w:tc>
          <w:tcPr>
            <w:tcW w:w="1851" w:type="dxa"/>
          </w:tcPr>
          <w:p w14:paraId="48CCBF3D" w14:textId="77777777" w:rsidR="006E200D" w:rsidRDefault="006E200D" w:rsidP="006F38E2">
            <w:pPr>
              <w:pStyle w:val="ListParagraph"/>
              <w:ind w:left="33"/>
              <w:jc w:val="center"/>
              <w:rPr>
                <w:rFonts w:ascii="Verdana" w:hAnsi="Verdana"/>
                <w:sz w:val="15"/>
                <w:szCs w:val="15"/>
              </w:rPr>
            </w:pPr>
          </w:p>
          <w:p w14:paraId="1D5A3C9A" w14:textId="48F35BFE" w:rsidR="00D4332E" w:rsidRPr="00BC2D08" w:rsidRDefault="00D4332E" w:rsidP="006F38E2">
            <w:pPr>
              <w:pStyle w:val="ListParagraph"/>
              <w:ind w:left="33"/>
              <w:jc w:val="center"/>
              <w:rPr>
                <w:rFonts w:ascii="Verdana" w:hAnsi="Verdana"/>
                <w:sz w:val="15"/>
                <w:szCs w:val="15"/>
              </w:rPr>
            </w:pPr>
            <w:r>
              <w:rPr>
                <w:rFonts w:ascii="Verdana" w:hAnsi="Verdana"/>
                <w:sz w:val="15"/>
                <w:szCs w:val="15"/>
              </w:rPr>
              <w:t>-</w:t>
            </w:r>
          </w:p>
        </w:tc>
        <w:tc>
          <w:tcPr>
            <w:tcW w:w="1851" w:type="dxa"/>
            <w:vAlign w:val="center"/>
          </w:tcPr>
          <w:p w14:paraId="605AF078" w14:textId="0A55EC63" w:rsidR="006E200D" w:rsidRPr="00BC2D08" w:rsidRDefault="006E200D" w:rsidP="006F38E2">
            <w:pPr>
              <w:pStyle w:val="ListParagraph"/>
              <w:ind w:left="33"/>
              <w:jc w:val="center"/>
              <w:rPr>
                <w:rFonts w:ascii="Verdana" w:hAnsi="Verdana"/>
                <w:color w:val="00B050"/>
                <w:sz w:val="15"/>
                <w:szCs w:val="15"/>
              </w:rPr>
            </w:pPr>
            <w:r w:rsidRPr="00BC2D08">
              <w:rPr>
                <w:rFonts w:ascii="Verdana" w:hAnsi="Verdana"/>
                <w:sz w:val="15"/>
                <w:szCs w:val="15"/>
              </w:rPr>
              <w:t>Approve for recommendation to Shareholder</w:t>
            </w:r>
          </w:p>
        </w:tc>
        <w:tc>
          <w:tcPr>
            <w:tcW w:w="1852" w:type="dxa"/>
            <w:vAlign w:val="center"/>
          </w:tcPr>
          <w:p w14:paraId="4C09CEA0" w14:textId="7A813150" w:rsidR="006E200D" w:rsidRPr="00BC2D08" w:rsidRDefault="006E200D" w:rsidP="006F38E2">
            <w:pPr>
              <w:jc w:val="center"/>
              <w:rPr>
                <w:rFonts w:ascii="Verdana" w:hAnsi="Verdana"/>
                <w:color w:val="00B050"/>
                <w:sz w:val="15"/>
                <w:szCs w:val="15"/>
              </w:rPr>
            </w:pPr>
            <w:r w:rsidRPr="00BC2D08">
              <w:rPr>
                <w:rFonts w:ascii="Verdana" w:hAnsi="Verdana"/>
                <w:sz w:val="15"/>
                <w:szCs w:val="15"/>
              </w:rPr>
              <w:t>Approve</w:t>
            </w:r>
          </w:p>
        </w:tc>
        <w:tc>
          <w:tcPr>
            <w:tcW w:w="5704" w:type="dxa"/>
            <w:vAlign w:val="center"/>
          </w:tcPr>
          <w:p w14:paraId="4C1B3C7D" w14:textId="0124AECB" w:rsidR="006E200D" w:rsidRPr="00BC2D08" w:rsidRDefault="006E200D" w:rsidP="006F38E2">
            <w:pPr>
              <w:rPr>
                <w:rStyle w:val="eop"/>
                <w:rFonts w:ascii="Verdana" w:hAnsi="Verdana"/>
                <w:color w:val="000000"/>
                <w:sz w:val="15"/>
                <w:szCs w:val="15"/>
                <w:shd w:val="clear" w:color="auto" w:fill="FFFFFF"/>
              </w:rPr>
            </w:pPr>
            <w:r w:rsidRPr="00BC2D08">
              <w:rPr>
                <w:rStyle w:val="normaltextrun"/>
                <w:rFonts w:ascii="Verdana" w:hAnsi="Verdana"/>
                <w:color w:val="000000"/>
                <w:sz w:val="15"/>
                <w:szCs w:val="15"/>
                <w:shd w:val="clear" w:color="auto" w:fill="FFFFFF"/>
              </w:rPr>
              <w:t>POL Board must develop a Group Strategic Plan (GSP) covering a period of at least three years, which must be approved by the Shareholder</w:t>
            </w:r>
            <w:r w:rsidR="002F7EAA">
              <w:rPr>
                <w:rStyle w:val="normaltextrun"/>
                <w:rFonts w:ascii="Verdana" w:hAnsi="Verdana"/>
                <w:color w:val="000000"/>
                <w:sz w:val="15"/>
                <w:szCs w:val="15"/>
                <w:shd w:val="clear" w:color="auto" w:fill="FFFFFF"/>
              </w:rPr>
              <w:t>.</w:t>
            </w:r>
            <w:r w:rsidRPr="00BC2D08">
              <w:rPr>
                <w:rStyle w:val="eop"/>
                <w:rFonts w:ascii="Verdana" w:hAnsi="Verdana"/>
                <w:color w:val="000000"/>
                <w:sz w:val="15"/>
                <w:szCs w:val="15"/>
                <w:shd w:val="clear" w:color="auto" w:fill="FFFFFF"/>
              </w:rPr>
              <w:t> </w:t>
            </w:r>
          </w:p>
          <w:p w14:paraId="090C1F8A" w14:textId="77524483" w:rsidR="006E200D" w:rsidRPr="00BC2D08" w:rsidRDefault="006E200D" w:rsidP="006F38E2">
            <w:pPr>
              <w:rPr>
                <w:rFonts w:ascii="Verdana" w:hAnsi="Verdana"/>
                <w:sz w:val="15"/>
                <w:szCs w:val="15"/>
              </w:rPr>
            </w:pPr>
            <w:r w:rsidRPr="00BC2D08">
              <w:rPr>
                <w:rStyle w:val="eop"/>
                <w:rFonts w:ascii="Verdana" w:hAnsi="Verdana"/>
                <w:color w:val="000000"/>
                <w:sz w:val="15"/>
                <w:szCs w:val="15"/>
                <w:shd w:val="clear" w:color="auto" w:fill="FFFFFF"/>
              </w:rPr>
              <w:t>The GSP must be reviewed annually by the POL Board</w:t>
            </w:r>
            <w:r w:rsidR="002F7EAA">
              <w:rPr>
                <w:rStyle w:val="eop"/>
                <w:rFonts w:ascii="Verdana" w:hAnsi="Verdana"/>
                <w:color w:val="000000"/>
                <w:sz w:val="15"/>
                <w:szCs w:val="15"/>
                <w:shd w:val="clear" w:color="auto" w:fill="FFFFFF"/>
              </w:rPr>
              <w:t xml:space="preserve">. </w:t>
            </w:r>
            <w:r w:rsidRPr="00BC2D08">
              <w:rPr>
                <w:rStyle w:val="eop"/>
                <w:rFonts w:ascii="Verdana" w:hAnsi="Verdana"/>
                <w:color w:val="000000"/>
                <w:sz w:val="15"/>
                <w:szCs w:val="15"/>
                <w:shd w:val="clear" w:color="auto" w:fill="FFFFFF"/>
              </w:rPr>
              <w:t xml:space="preserve"> </w:t>
            </w:r>
          </w:p>
        </w:tc>
      </w:tr>
      <w:tr w:rsidR="00D4332E" w:rsidRPr="00733988" w14:paraId="54D79C2D" w14:textId="77777777" w:rsidTr="008C1AD5">
        <w:trPr>
          <w:trHeight w:val="551"/>
        </w:trPr>
        <w:tc>
          <w:tcPr>
            <w:tcW w:w="5388" w:type="dxa"/>
          </w:tcPr>
          <w:p w14:paraId="2E028C55" w14:textId="29E2FF91" w:rsidR="00D4332E" w:rsidRPr="00293544" w:rsidRDefault="00D4332E" w:rsidP="00FB04FF">
            <w:pPr>
              <w:pStyle w:val="ListParagraph"/>
              <w:numPr>
                <w:ilvl w:val="1"/>
                <w:numId w:val="24"/>
              </w:numPr>
              <w:ind w:left="459" w:hanging="460"/>
              <w:rPr>
                <w:rFonts w:ascii="Verdana" w:hAnsi="Verdana"/>
                <w:sz w:val="18"/>
                <w:szCs w:val="18"/>
              </w:rPr>
            </w:pPr>
            <w:r w:rsidRPr="00293544">
              <w:rPr>
                <w:rFonts w:ascii="Verdana" w:hAnsi="Verdana"/>
                <w:sz w:val="18"/>
                <w:szCs w:val="18"/>
              </w:rPr>
              <w:t xml:space="preserve">Adoption of, or variation to, the </w:t>
            </w:r>
            <w:r>
              <w:rPr>
                <w:rFonts w:ascii="Verdana" w:hAnsi="Verdana"/>
                <w:sz w:val="18"/>
                <w:szCs w:val="18"/>
              </w:rPr>
              <w:t>Group</w:t>
            </w:r>
            <w:r w:rsidRPr="00293544">
              <w:rPr>
                <w:rFonts w:ascii="Verdana" w:hAnsi="Verdana"/>
                <w:sz w:val="18"/>
                <w:szCs w:val="18"/>
              </w:rPr>
              <w:t xml:space="preserve"> Business Plan (every 12 months) (FD section </w:t>
            </w:r>
            <w:r w:rsidR="00F540EA">
              <w:rPr>
                <w:rFonts w:ascii="Verdana" w:hAnsi="Verdana"/>
                <w:sz w:val="18"/>
                <w:szCs w:val="18"/>
              </w:rPr>
              <w:t>32</w:t>
            </w:r>
            <w:r w:rsidRPr="00293544">
              <w:rPr>
                <w:rFonts w:ascii="Verdana" w:hAnsi="Verdana"/>
                <w:sz w:val="18"/>
                <w:szCs w:val="18"/>
              </w:rPr>
              <w:t>)</w:t>
            </w:r>
          </w:p>
        </w:tc>
        <w:tc>
          <w:tcPr>
            <w:tcW w:w="1701" w:type="dxa"/>
            <w:vAlign w:val="center"/>
          </w:tcPr>
          <w:p w14:paraId="076A8FD3" w14:textId="3C59020A" w:rsidR="00D4332E" w:rsidRPr="00BC2D08" w:rsidRDefault="00D4332E" w:rsidP="00D4332E">
            <w:pPr>
              <w:pStyle w:val="ListParagraph"/>
              <w:ind w:left="34"/>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1E1C46EE" w14:textId="7B127DBE"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3DD9D18F" w14:textId="0F6ED2B8"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47138FF2" w14:textId="571AFD8F"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9743169" w14:textId="00A0E2E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816E21C" w14:textId="7226E6E1"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for recommendation to Shareholder</w:t>
            </w:r>
          </w:p>
        </w:tc>
        <w:tc>
          <w:tcPr>
            <w:tcW w:w="1852" w:type="dxa"/>
            <w:vAlign w:val="center"/>
          </w:tcPr>
          <w:p w14:paraId="00ED3680" w14:textId="66067804" w:rsidR="00D4332E" w:rsidRPr="00BC2D08" w:rsidRDefault="00D4332E" w:rsidP="00D4332E">
            <w:pPr>
              <w:jc w:val="center"/>
              <w:rPr>
                <w:rFonts w:ascii="Verdana" w:hAnsi="Verdana"/>
                <w:color w:val="00B050"/>
                <w:sz w:val="15"/>
                <w:szCs w:val="15"/>
              </w:rPr>
            </w:pPr>
            <w:r w:rsidRPr="00BC2D08">
              <w:rPr>
                <w:rFonts w:ascii="Verdana" w:hAnsi="Verdana"/>
                <w:sz w:val="15"/>
                <w:szCs w:val="15"/>
              </w:rPr>
              <w:t>Approve</w:t>
            </w:r>
          </w:p>
        </w:tc>
        <w:tc>
          <w:tcPr>
            <w:tcW w:w="5704" w:type="dxa"/>
            <w:vAlign w:val="center"/>
          </w:tcPr>
          <w:p w14:paraId="27507650" w14:textId="1289181C" w:rsidR="00D4332E" w:rsidRPr="00BC2D08" w:rsidRDefault="00D4332E" w:rsidP="00D4332E">
            <w:pPr>
              <w:rPr>
                <w:rFonts w:ascii="Verdana" w:hAnsi="Verdana"/>
                <w:sz w:val="15"/>
                <w:szCs w:val="15"/>
              </w:rPr>
            </w:pPr>
            <w:r w:rsidRPr="00BC2D08">
              <w:rPr>
                <w:rFonts w:ascii="Verdana" w:hAnsi="Verdana"/>
                <w:sz w:val="15"/>
                <w:szCs w:val="15"/>
              </w:rPr>
              <w:t xml:space="preserve">POL Board and Shareholder must approve individual Subsidiary Business Plans which feed into the Group Business Plan. </w:t>
            </w:r>
          </w:p>
        </w:tc>
      </w:tr>
      <w:tr w:rsidR="00D4332E" w:rsidRPr="00733988" w14:paraId="1C1C4661" w14:textId="50554994" w:rsidTr="008C1AD5">
        <w:trPr>
          <w:trHeight w:val="841"/>
        </w:trPr>
        <w:tc>
          <w:tcPr>
            <w:tcW w:w="5388" w:type="dxa"/>
          </w:tcPr>
          <w:p w14:paraId="3FC0A7AD" w14:textId="52DA35E0" w:rsidR="00D4332E" w:rsidRPr="00FB04FF" w:rsidRDefault="00D4332E" w:rsidP="00FB04FF">
            <w:pPr>
              <w:pStyle w:val="ListParagraph"/>
              <w:numPr>
                <w:ilvl w:val="1"/>
                <w:numId w:val="24"/>
              </w:numPr>
              <w:ind w:left="459" w:hanging="460"/>
              <w:rPr>
                <w:rFonts w:ascii="Verdana" w:hAnsi="Verdana"/>
                <w:sz w:val="18"/>
                <w:szCs w:val="18"/>
              </w:rPr>
            </w:pPr>
            <w:r w:rsidRPr="002A7D70">
              <w:rPr>
                <w:rFonts w:ascii="Verdana" w:hAnsi="Verdana"/>
                <w:sz w:val="18"/>
                <w:szCs w:val="18"/>
              </w:rPr>
              <w:t>Substantial alteration to the nature of the business of the Company unless as specified in the Group Strategic Plan  (Article 8.1 (V))</w:t>
            </w:r>
          </w:p>
        </w:tc>
        <w:tc>
          <w:tcPr>
            <w:tcW w:w="1701" w:type="dxa"/>
            <w:vAlign w:val="center"/>
          </w:tcPr>
          <w:p w14:paraId="5CED676C" w14:textId="38C1EFA4" w:rsidR="00D4332E" w:rsidRPr="00BC2D08" w:rsidRDefault="00D4332E" w:rsidP="00D4332E">
            <w:pPr>
              <w:pStyle w:val="ListParagraph"/>
              <w:ind w:left="34"/>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24151499" w14:textId="519FABDA"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7C40713" w14:textId="75909FC3"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37711FF3" w14:textId="3A809D1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2A2B2C8D" w14:textId="372D51EB"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AA57054" w14:textId="445273A4"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4B2A2C28" w14:textId="77777777" w:rsidR="00D4332E" w:rsidRPr="00BC2D08" w:rsidRDefault="00D4332E" w:rsidP="00D4332E">
            <w:pPr>
              <w:jc w:val="center"/>
              <w:rPr>
                <w:rFonts w:ascii="Verdana" w:hAnsi="Verdana"/>
                <w:color w:val="00B050"/>
                <w:sz w:val="15"/>
                <w:szCs w:val="15"/>
              </w:rPr>
            </w:pPr>
          </w:p>
          <w:p w14:paraId="2605B46E" w14:textId="2BECE0E3" w:rsidR="00D4332E" w:rsidRPr="00BC2D08" w:rsidRDefault="00D4332E" w:rsidP="00D4332E">
            <w:pPr>
              <w:jc w:val="center"/>
              <w:rPr>
                <w:rFonts w:ascii="Verdana" w:hAnsi="Verdana"/>
                <w:color w:val="00B050"/>
                <w:sz w:val="15"/>
                <w:szCs w:val="15"/>
              </w:rPr>
            </w:pPr>
            <w:r w:rsidRPr="00BC2D08">
              <w:rPr>
                <w:rFonts w:ascii="Verdana" w:hAnsi="Verdana"/>
                <w:sz w:val="15"/>
                <w:szCs w:val="15"/>
              </w:rPr>
              <w:t>Consent</w:t>
            </w:r>
          </w:p>
        </w:tc>
        <w:tc>
          <w:tcPr>
            <w:tcW w:w="5704" w:type="dxa"/>
          </w:tcPr>
          <w:p w14:paraId="72F49BAA" w14:textId="44115FBE" w:rsidR="00D4332E" w:rsidRPr="00BC2D08" w:rsidRDefault="00D4332E" w:rsidP="00D4332E">
            <w:pPr>
              <w:rPr>
                <w:rFonts w:ascii="Verdana" w:hAnsi="Verdana"/>
                <w:sz w:val="15"/>
                <w:szCs w:val="15"/>
              </w:rPr>
            </w:pPr>
          </w:p>
        </w:tc>
      </w:tr>
      <w:tr w:rsidR="00D4332E" w:rsidRPr="00733988" w14:paraId="37C3B809" w14:textId="77777777" w:rsidTr="008C1AD5">
        <w:trPr>
          <w:trHeight w:val="841"/>
        </w:trPr>
        <w:tc>
          <w:tcPr>
            <w:tcW w:w="5388" w:type="dxa"/>
          </w:tcPr>
          <w:p w14:paraId="76D8265C" w14:textId="19B71CAD" w:rsidR="00D4332E" w:rsidRPr="00293544" w:rsidRDefault="00D4332E" w:rsidP="00D4332E">
            <w:pPr>
              <w:autoSpaceDE w:val="0"/>
              <w:autoSpaceDN w:val="0"/>
              <w:adjustRightInd w:val="0"/>
              <w:ind w:left="459" w:hanging="460"/>
              <w:rPr>
                <w:rFonts w:ascii="Verdana" w:hAnsi="Verdana" w:cs="ChevinLight"/>
                <w:color w:val="000000"/>
                <w:sz w:val="18"/>
                <w:szCs w:val="18"/>
              </w:rPr>
            </w:pPr>
            <w:r w:rsidRPr="00293544">
              <w:rPr>
                <w:rFonts w:ascii="Verdana" w:hAnsi="Verdana" w:cs="ChevinLight"/>
                <w:color w:val="000000"/>
                <w:sz w:val="18"/>
                <w:szCs w:val="18"/>
              </w:rPr>
              <w:t xml:space="preserve">1.4 </w:t>
            </w:r>
            <w:r>
              <w:rPr>
                <w:rFonts w:ascii="Verdana" w:hAnsi="Verdana" w:cs="ChevinLight"/>
                <w:color w:val="000000"/>
                <w:sz w:val="18"/>
                <w:szCs w:val="18"/>
              </w:rPr>
              <w:t xml:space="preserve">  </w:t>
            </w:r>
            <w:r w:rsidRPr="00366BB7">
              <w:rPr>
                <w:rFonts w:ascii="Verdana" w:hAnsi="Verdana" w:cs="ChevinLight"/>
                <w:color w:val="000000"/>
                <w:sz w:val="18"/>
                <w:szCs w:val="18"/>
              </w:rPr>
              <w:t>Approval of the Funding Agreement with Government</w:t>
            </w:r>
            <w:r>
              <w:rPr>
                <w:rFonts w:ascii="Verdana" w:hAnsi="Verdana" w:cs="ChevinLight"/>
                <w:color w:val="000000"/>
                <w:sz w:val="18"/>
                <w:szCs w:val="18"/>
              </w:rPr>
              <w:t xml:space="preserve"> </w:t>
            </w:r>
          </w:p>
        </w:tc>
        <w:tc>
          <w:tcPr>
            <w:tcW w:w="1701" w:type="dxa"/>
            <w:vAlign w:val="center"/>
          </w:tcPr>
          <w:p w14:paraId="5AE49EDC" w14:textId="453BEAE3" w:rsidR="00D4332E" w:rsidRPr="00BC2D08" w:rsidRDefault="00D4332E" w:rsidP="00D4332E">
            <w:pPr>
              <w:pStyle w:val="ListParagraph"/>
              <w:ind w:left="34"/>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0FAF3E6F" w14:textId="420F7369"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0FADA00" w14:textId="65CB4F32"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75DADD10" w14:textId="676C835F"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0298D150" w14:textId="60AC7F55"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76A8C74" w14:textId="47DCF46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 xml:space="preserve"> Approve</w:t>
            </w:r>
          </w:p>
        </w:tc>
        <w:tc>
          <w:tcPr>
            <w:tcW w:w="1852" w:type="dxa"/>
            <w:vAlign w:val="center"/>
          </w:tcPr>
          <w:p w14:paraId="5D9B29BC" w14:textId="35DE4387" w:rsidR="00D4332E" w:rsidRPr="00BC2D08" w:rsidRDefault="00D4332E" w:rsidP="00D4332E">
            <w:pPr>
              <w:jc w:val="center"/>
              <w:rPr>
                <w:rFonts w:ascii="Verdana" w:hAnsi="Verdana"/>
                <w:color w:val="00B050"/>
                <w:sz w:val="15"/>
                <w:szCs w:val="15"/>
              </w:rPr>
            </w:pPr>
            <w:r w:rsidRPr="00BC2D08">
              <w:rPr>
                <w:rFonts w:ascii="Verdana" w:hAnsi="Verdana"/>
                <w:color w:val="00B050"/>
                <w:sz w:val="15"/>
                <w:szCs w:val="15"/>
              </w:rPr>
              <w:t>-</w:t>
            </w:r>
          </w:p>
        </w:tc>
        <w:tc>
          <w:tcPr>
            <w:tcW w:w="5704" w:type="dxa"/>
          </w:tcPr>
          <w:p w14:paraId="249D0B35" w14:textId="303752FD" w:rsidR="00D4332E" w:rsidRPr="00BC2D08" w:rsidRDefault="00D4332E" w:rsidP="00D4332E">
            <w:pPr>
              <w:rPr>
                <w:rFonts w:ascii="Verdana" w:hAnsi="Verdana"/>
                <w:sz w:val="15"/>
                <w:szCs w:val="15"/>
              </w:rPr>
            </w:pPr>
          </w:p>
        </w:tc>
      </w:tr>
      <w:tr w:rsidR="00D4332E" w:rsidRPr="00733988" w14:paraId="6EF17507" w14:textId="77777777" w:rsidTr="008C1AD5">
        <w:trPr>
          <w:trHeight w:val="841"/>
        </w:trPr>
        <w:tc>
          <w:tcPr>
            <w:tcW w:w="5388" w:type="dxa"/>
          </w:tcPr>
          <w:p w14:paraId="6CF89F1A" w14:textId="7BB956A3" w:rsidR="00D4332E" w:rsidRPr="00347E77" w:rsidRDefault="00D4332E" w:rsidP="00D4332E">
            <w:pPr>
              <w:pStyle w:val="Default"/>
              <w:ind w:left="459" w:hanging="460"/>
              <w:rPr>
                <w:rFonts w:cs="ChevinLight"/>
                <w:color w:val="FF0000"/>
                <w:sz w:val="18"/>
                <w:szCs w:val="18"/>
              </w:rPr>
            </w:pPr>
            <w:r>
              <w:rPr>
                <w:rFonts w:eastAsia="Arial" w:cs="Arial"/>
                <w:sz w:val="18"/>
                <w:szCs w:val="18"/>
              </w:rPr>
              <w:t>1.5</w:t>
            </w:r>
            <w:r w:rsidRPr="00293544">
              <w:rPr>
                <w:rFonts w:eastAsia="Arial" w:cs="Arial"/>
                <w:sz w:val="18"/>
                <w:szCs w:val="18"/>
              </w:rPr>
              <w:t xml:space="preserve"> </w:t>
            </w:r>
            <w:r>
              <w:rPr>
                <w:rFonts w:eastAsia="Arial" w:cs="Arial"/>
                <w:sz w:val="18"/>
                <w:szCs w:val="18"/>
              </w:rPr>
              <w:t xml:space="preserve">  </w:t>
            </w:r>
            <w:r w:rsidRPr="00262890">
              <w:rPr>
                <w:rFonts w:cs="ChevinLight"/>
                <w:sz w:val="18"/>
                <w:szCs w:val="18"/>
              </w:rPr>
              <w:t xml:space="preserve">Approval of the criteria for measurement of performance (Key Performance Indicators) and </w:t>
            </w:r>
            <w:r>
              <w:rPr>
                <w:rFonts w:cs="ChevinLight"/>
                <w:sz w:val="18"/>
                <w:szCs w:val="18"/>
              </w:rPr>
              <w:t xml:space="preserve">management, including </w:t>
            </w:r>
            <w:r w:rsidRPr="00262890">
              <w:rPr>
                <w:rFonts w:cs="ChevinLight"/>
                <w:sz w:val="18"/>
                <w:szCs w:val="18"/>
              </w:rPr>
              <w:t xml:space="preserve">annual review of such criteria </w:t>
            </w:r>
          </w:p>
        </w:tc>
        <w:tc>
          <w:tcPr>
            <w:tcW w:w="1701" w:type="dxa"/>
            <w:vAlign w:val="center"/>
          </w:tcPr>
          <w:p w14:paraId="4D51F008" w14:textId="66DD8838" w:rsidR="00D4332E" w:rsidRPr="00BC2D08" w:rsidRDefault="00D4332E" w:rsidP="00D4332E">
            <w:pPr>
              <w:pStyle w:val="ListParagraph"/>
              <w:ind w:left="34"/>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5B724390" w14:textId="47D1DF20"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4996D14A" w14:textId="59699C79"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38B32AD2" w14:textId="530D3ABC" w:rsidR="00D4332E" w:rsidRPr="00BC2D08" w:rsidRDefault="00D4332E" w:rsidP="00D4332E">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1AFC3B3F" w14:textId="549DD8D0"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06B25C9" w14:textId="33BAA943"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79954E35" w14:textId="23C47490" w:rsidR="00D4332E" w:rsidRPr="00BC2D08" w:rsidRDefault="00D4332E" w:rsidP="00D4332E">
            <w:pPr>
              <w:pStyle w:val="ListParagraph"/>
              <w:numPr>
                <w:ilvl w:val="0"/>
                <w:numId w:val="27"/>
              </w:numPr>
              <w:jc w:val="center"/>
              <w:rPr>
                <w:rFonts w:ascii="Verdana" w:hAnsi="Verdana"/>
                <w:color w:val="00B050"/>
                <w:sz w:val="15"/>
                <w:szCs w:val="15"/>
              </w:rPr>
            </w:pPr>
          </w:p>
        </w:tc>
        <w:tc>
          <w:tcPr>
            <w:tcW w:w="5704" w:type="dxa"/>
          </w:tcPr>
          <w:p w14:paraId="6FE63E50" w14:textId="3707AE90" w:rsidR="00D4332E" w:rsidRPr="00BC2D08" w:rsidRDefault="00D4332E" w:rsidP="00F540EA">
            <w:pPr>
              <w:rPr>
                <w:rFonts w:ascii="Verdana" w:hAnsi="Verdana"/>
                <w:sz w:val="15"/>
                <w:szCs w:val="15"/>
              </w:rPr>
            </w:pPr>
            <w:r w:rsidRPr="00BC2D08">
              <w:rPr>
                <w:rFonts w:ascii="Verdana" w:hAnsi="Verdana"/>
                <w:sz w:val="15"/>
                <w:szCs w:val="15"/>
              </w:rPr>
              <w:t xml:space="preserve">POL Board is required to provide quarterly reports to the Shareholder on the targets and budgets set out in the GSP and </w:t>
            </w:r>
            <w:r w:rsidR="002F7EAA">
              <w:rPr>
                <w:rFonts w:ascii="Verdana" w:hAnsi="Verdana"/>
                <w:sz w:val="15"/>
                <w:szCs w:val="15"/>
              </w:rPr>
              <w:t xml:space="preserve">other </w:t>
            </w:r>
            <w:r w:rsidR="00F540EA" w:rsidRPr="00F540EA">
              <w:rPr>
                <w:rFonts w:ascii="Verdana" w:hAnsi="Verdana"/>
                <w:sz w:val="15"/>
                <w:szCs w:val="15"/>
              </w:rPr>
              <w:t>financial and non-financial performance against the budgets and targets</w:t>
            </w:r>
            <w:r w:rsidR="00F540EA">
              <w:rPr>
                <w:rFonts w:ascii="Verdana" w:hAnsi="Verdana"/>
                <w:sz w:val="15"/>
                <w:szCs w:val="15"/>
              </w:rPr>
              <w:t xml:space="preserve"> more broadly </w:t>
            </w:r>
            <w:r w:rsidRPr="00BC2D08">
              <w:rPr>
                <w:rFonts w:ascii="Verdana" w:hAnsi="Verdana"/>
                <w:sz w:val="15"/>
                <w:szCs w:val="15"/>
              </w:rPr>
              <w:t xml:space="preserve"> (FD </w:t>
            </w:r>
            <w:r w:rsidR="00195E57">
              <w:rPr>
                <w:rFonts w:ascii="Verdana" w:hAnsi="Verdana"/>
                <w:sz w:val="15"/>
                <w:szCs w:val="15"/>
              </w:rPr>
              <w:t>s</w:t>
            </w:r>
            <w:r w:rsidRPr="00BC2D08">
              <w:rPr>
                <w:rFonts w:ascii="Verdana" w:hAnsi="Verdana"/>
                <w:sz w:val="15"/>
                <w:szCs w:val="15"/>
              </w:rPr>
              <w:t>ection</w:t>
            </w:r>
            <w:r w:rsidR="00F540EA">
              <w:rPr>
                <w:rFonts w:ascii="Verdana" w:hAnsi="Verdana"/>
                <w:sz w:val="15"/>
                <w:szCs w:val="15"/>
              </w:rPr>
              <w:t>s</w:t>
            </w:r>
            <w:r w:rsidRPr="00BC2D08">
              <w:rPr>
                <w:rFonts w:ascii="Verdana" w:hAnsi="Verdana"/>
                <w:sz w:val="15"/>
                <w:szCs w:val="15"/>
              </w:rPr>
              <w:t xml:space="preserve"> </w:t>
            </w:r>
            <w:r w:rsidR="00F540EA">
              <w:rPr>
                <w:rFonts w:ascii="Verdana" w:hAnsi="Verdana"/>
                <w:sz w:val="15"/>
                <w:szCs w:val="15"/>
              </w:rPr>
              <w:t xml:space="preserve">35 and 36 </w:t>
            </w:r>
            <w:r w:rsidRPr="00BC2D08">
              <w:rPr>
                <w:rFonts w:ascii="Verdana" w:hAnsi="Verdana"/>
                <w:sz w:val="15"/>
                <w:szCs w:val="15"/>
              </w:rPr>
              <w:t>).</w:t>
            </w:r>
          </w:p>
        </w:tc>
      </w:tr>
      <w:tr w:rsidR="00D4332E" w:rsidRPr="00733988" w14:paraId="305D75F5" w14:textId="77777777" w:rsidTr="008C1AD5">
        <w:trPr>
          <w:trHeight w:val="841"/>
        </w:trPr>
        <w:tc>
          <w:tcPr>
            <w:tcW w:w="5388" w:type="dxa"/>
          </w:tcPr>
          <w:p w14:paraId="7B7CEE11" w14:textId="103D95EA" w:rsidR="00D4332E" w:rsidRDefault="00D4332E" w:rsidP="00D4332E">
            <w:pPr>
              <w:pStyle w:val="Default"/>
              <w:ind w:left="459" w:hanging="460"/>
              <w:rPr>
                <w:rFonts w:eastAsia="Arial" w:cs="Arial"/>
                <w:sz w:val="18"/>
                <w:szCs w:val="18"/>
              </w:rPr>
            </w:pPr>
            <w:r>
              <w:rPr>
                <w:rFonts w:eastAsia="Arial" w:cs="Arial"/>
                <w:sz w:val="18"/>
                <w:szCs w:val="18"/>
              </w:rPr>
              <w:t xml:space="preserve">1.6   Approval of succession plans for directors of Group Companies </w:t>
            </w:r>
          </w:p>
        </w:tc>
        <w:tc>
          <w:tcPr>
            <w:tcW w:w="1701" w:type="dxa"/>
            <w:vAlign w:val="center"/>
          </w:tcPr>
          <w:p w14:paraId="0208CF9D" w14:textId="50361ACD"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27117036" w14:textId="46AEFEEB"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30A879B" w14:textId="41751F4F"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Approve</w:t>
            </w:r>
          </w:p>
        </w:tc>
        <w:tc>
          <w:tcPr>
            <w:tcW w:w="1723" w:type="dxa"/>
            <w:vAlign w:val="center"/>
          </w:tcPr>
          <w:p w14:paraId="2DB536CB" w14:textId="7F0AAA9C" w:rsidR="00D4332E" w:rsidRPr="00BC2D08" w:rsidRDefault="00D4332E" w:rsidP="00D4332E">
            <w:pPr>
              <w:pStyle w:val="ListParagraph"/>
              <w:ind w:left="33"/>
              <w:jc w:val="center"/>
              <w:rPr>
                <w:rFonts w:ascii="Verdana" w:hAnsi="Verdana"/>
                <w:color w:val="000000" w:themeColor="text1"/>
                <w:sz w:val="15"/>
                <w:szCs w:val="15"/>
              </w:rPr>
            </w:pPr>
            <w:r w:rsidRPr="00BC2D08">
              <w:rPr>
                <w:rFonts w:ascii="Verdana" w:hAnsi="Verdana"/>
                <w:color w:val="000000" w:themeColor="text1"/>
                <w:sz w:val="15"/>
                <w:szCs w:val="15"/>
              </w:rPr>
              <w:t>-</w:t>
            </w:r>
          </w:p>
        </w:tc>
        <w:tc>
          <w:tcPr>
            <w:tcW w:w="1851" w:type="dxa"/>
            <w:vAlign w:val="center"/>
          </w:tcPr>
          <w:p w14:paraId="65A1149E" w14:textId="469383D8" w:rsidR="00D4332E" w:rsidRPr="00BC2D08" w:rsidRDefault="00D4332E" w:rsidP="00D4332E">
            <w:pPr>
              <w:pStyle w:val="ListParagraph"/>
              <w:ind w:left="33"/>
              <w:jc w:val="center"/>
              <w:rPr>
                <w:rFonts w:ascii="Verdana" w:hAnsi="Verdana"/>
                <w:color w:val="000000" w:themeColor="text1"/>
                <w:sz w:val="15"/>
                <w:szCs w:val="15"/>
              </w:rPr>
            </w:pPr>
            <w:r w:rsidRPr="00BC2D08">
              <w:rPr>
                <w:rFonts w:ascii="Verdana" w:hAnsi="Verdana"/>
                <w:color w:val="000000" w:themeColor="text1"/>
                <w:sz w:val="15"/>
                <w:szCs w:val="15"/>
              </w:rPr>
              <w:t>-</w:t>
            </w:r>
          </w:p>
        </w:tc>
        <w:tc>
          <w:tcPr>
            <w:tcW w:w="1851" w:type="dxa"/>
            <w:vAlign w:val="center"/>
          </w:tcPr>
          <w:p w14:paraId="183976C2" w14:textId="09BE53CA" w:rsidR="00D4332E" w:rsidRPr="00BC2D08" w:rsidRDefault="00D4332E" w:rsidP="00D4332E">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2" w:type="dxa"/>
            <w:vAlign w:val="center"/>
          </w:tcPr>
          <w:p w14:paraId="6F8DB15D" w14:textId="77777777" w:rsidR="00D4332E" w:rsidRPr="00BC2D08" w:rsidRDefault="00D4332E" w:rsidP="00D4332E">
            <w:pPr>
              <w:pStyle w:val="ListParagraph"/>
              <w:numPr>
                <w:ilvl w:val="0"/>
                <w:numId w:val="27"/>
              </w:numPr>
              <w:jc w:val="center"/>
              <w:rPr>
                <w:rFonts w:ascii="Verdana" w:hAnsi="Verdana"/>
                <w:color w:val="00B050"/>
                <w:sz w:val="15"/>
                <w:szCs w:val="15"/>
              </w:rPr>
            </w:pPr>
          </w:p>
        </w:tc>
        <w:tc>
          <w:tcPr>
            <w:tcW w:w="5704" w:type="dxa"/>
          </w:tcPr>
          <w:p w14:paraId="29DA222A" w14:textId="383C036A" w:rsidR="00D4332E" w:rsidRPr="00BC2D08" w:rsidRDefault="00D4332E" w:rsidP="00D4332E">
            <w:pPr>
              <w:rPr>
                <w:rFonts w:ascii="Verdana" w:hAnsi="Verdana"/>
                <w:sz w:val="15"/>
                <w:szCs w:val="15"/>
              </w:rPr>
            </w:pPr>
          </w:p>
        </w:tc>
      </w:tr>
      <w:tr w:rsidR="00E1254C" w:rsidRPr="00733988" w14:paraId="445CD8EA" w14:textId="77777777" w:rsidTr="003F42D7">
        <w:trPr>
          <w:trHeight w:val="365"/>
        </w:trPr>
        <w:tc>
          <w:tcPr>
            <w:tcW w:w="23106" w:type="dxa"/>
            <w:gridSpan w:val="9"/>
            <w:shd w:val="clear" w:color="auto" w:fill="D0CECE" w:themeFill="background2" w:themeFillShade="E6"/>
          </w:tcPr>
          <w:p w14:paraId="5D91FB26" w14:textId="09A05C99" w:rsidR="00E1254C" w:rsidRPr="00E1254C" w:rsidRDefault="00E1254C" w:rsidP="00E1254C">
            <w:pPr>
              <w:pStyle w:val="ListParagraph"/>
              <w:numPr>
                <w:ilvl w:val="0"/>
                <w:numId w:val="37"/>
              </w:numPr>
              <w:rPr>
                <w:rFonts w:ascii="Verdana" w:hAnsi="Verdana"/>
                <w:sz w:val="18"/>
                <w:szCs w:val="18"/>
              </w:rPr>
            </w:pPr>
            <w:r w:rsidRPr="00E1254C">
              <w:rPr>
                <w:rFonts w:ascii="Verdana" w:hAnsi="Verdana"/>
                <w:b/>
                <w:bCs/>
                <w:sz w:val="18"/>
                <w:szCs w:val="18"/>
              </w:rPr>
              <w:t>Ownership, Capital Structure &amp; Constitution</w:t>
            </w:r>
            <w:r w:rsidRPr="00E1254C">
              <w:rPr>
                <w:rFonts w:ascii="Verdana" w:hAnsi="Verdana"/>
                <w:sz w:val="18"/>
                <w:szCs w:val="18"/>
              </w:rPr>
              <w:t> </w:t>
            </w:r>
          </w:p>
        </w:tc>
      </w:tr>
      <w:tr w:rsidR="00D4332E" w:rsidRPr="00733988" w14:paraId="69AFB029" w14:textId="77777777" w:rsidTr="00DA7282">
        <w:trPr>
          <w:trHeight w:val="841"/>
        </w:trPr>
        <w:tc>
          <w:tcPr>
            <w:tcW w:w="5388" w:type="dxa"/>
          </w:tcPr>
          <w:p w14:paraId="45CE09EF" w14:textId="3E772600" w:rsidR="00D4332E" w:rsidRPr="009530E9" w:rsidRDefault="00D4332E" w:rsidP="00D4332E">
            <w:pPr>
              <w:pStyle w:val="ListParagraph"/>
              <w:numPr>
                <w:ilvl w:val="1"/>
                <w:numId w:val="28"/>
              </w:numPr>
              <w:ind w:left="459" w:hanging="460"/>
              <w:rPr>
                <w:rFonts w:ascii="Verdana" w:hAnsi="Verdana"/>
                <w:color w:val="FF0000"/>
                <w:sz w:val="18"/>
                <w:szCs w:val="18"/>
              </w:rPr>
            </w:pPr>
            <w:r w:rsidRPr="009530E9">
              <w:rPr>
                <w:rFonts w:ascii="Verdana" w:hAnsi="Verdana"/>
                <w:sz w:val="18"/>
                <w:szCs w:val="18"/>
              </w:rPr>
              <w:t xml:space="preserve">The alteration or deletion of, or the ratification of any breach of, all or any part of the Articles; </w:t>
            </w:r>
            <w:r w:rsidRPr="00347E77">
              <w:rPr>
                <w:rFonts w:ascii="Verdana" w:hAnsi="Verdana"/>
                <w:sz w:val="18"/>
                <w:szCs w:val="18"/>
              </w:rPr>
              <w:t>(Article 8.1 A (H))</w:t>
            </w:r>
          </w:p>
        </w:tc>
        <w:tc>
          <w:tcPr>
            <w:tcW w:w="1701" w:type="dxa"/>
            <w:vAlign w:val="center"/>
          </w:tcPr>
          <w:p w14:paraId="18704BB1" w14:textId="29AB46B7"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27148E5C" w14:textId="7409CCF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AA616B8" w14:textId="2D63B022" w:rsidR="00D4332E" w:rsidRPr="00BC2D08" w:rsidRDefault="00D4332E" w:rsidP="00D4332E">
            <w:pPr>
              <w:pStyle w:val="ListParagraph"/>
              <w:ind w:left="33"/>
              <w:jc w:val="center"/>
              <w:rPr>
                <w:rFonts w:ascii="Verdana" w:hAnsi="Verdana"/>
                <w:sz w:val="15"/>
                <w:szCs w:val="15"/>
              </w:rPr>
            </w:pPr>
          </w:p>
        </w:tc>
        <w:tc>
          <w:tcPr>
            <w:tcW w:w="1723" w:type="dxa"/>
          </w:tcPr>
          <w:p w14:paraId="1C04BF81" w14:textId="52E796F0"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3F583D5" w14:textId="2910BC1C"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2DCE49E3" w14:textId="56D3BC8E"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tcPr>
          <w:p w14:paraId="5D17CCF1" w14:textId="77777777" w:rsidR="00D4332E" w:rsidRPr="00BC2D08" w:rsidRDefault="00D4332E" w:rsidP="00D4332E">
            <w:pPr>
              <w:pStyle w:val="ListParagraph"/>
              <w:ind w:left="33"/>
              <w:jc w:val="center"/>
              <w:rPr>
                <w:rFonts w:ascii="Verdana" w:hAnsi="Verdana"/>
                <w:sz w:val="15"/>
                <w:szCs w:val="15"/>
              </w:rPr>
            </w:pPr>
          </w:p>
          <w:p w14:paraId="5DF5446F" w14:textId="751E1004" w:rsidR="00D4332E" w:rsidRPr="00BC2D08" w:rsidRDefault="00D4332E" w:rsidP="00D4332E">
            <w:pPr>
              <w:jc w:val="center"/>
              <w:rPr>
                <w:rFonts w:ascii="Verdana" w:hAnsi="Verdana"/>
                <w:color w:val="00B050"/>
                <w:sz w:val="15"/>
                <w:szCs w:val="15"/>
              </w:rPr>
            </w:pPr>
            <w:r w:rsidRPr="00BC2D08">
              <w:rPr>
                <w:rFonts w:ascii="Verdana" w:hAnsi="Verdana"/>
                <w:sz w:val="15"/>
                <w:szCs w:val="15"/>
              </w:rPr>
              <w:t>Consent</w:t>
            </w:r>
          </w:p>
        </w:tc>
        <w:tc>
          <w:tcPr>
            <w:tcW w:w="5704" w:type="dxa"/>
          </w:tcPr>
          <w:p w14:paraId="254F2E4B" w14:textId="1E5A432E" w:rsidR="00D4332E" w:rsidRPr="00BC2D08" w:rsidRDefault="00D4332E" w:rsidP="00D4332E">
            <w:pPr>
              <w:rPr>
                <w:rFonts w:ascii="Verdana" w:hAnsi="Verdana"/>
                <w:sz w:val="15"/>
                <w:szCs w:val="15"/>
              </w:rPr>
            </w:pPr>
            <w:r w:rsidRPr="00BC2D08">
              <w:rPr>
                <w:rFonts w:ascii="Verdana" w:hAnsi="Verdana"/>
                <w:sz w:val="15"/>
                <w:szCs w:val="15"/>
              </w:rPr>
              <w:t xml:space="preserve">Where an Article had been breached that should be raised through RCC/ </w:t>
            </w:r>
            <w:r>
              <w:rPr>
                <w:rFonts w:ascii="Verdana" w:hAnsi="Verdana"/>
                <w:sz w:val="15"/>
                <w:szCs w:val="15"/>
              </w:rPr>
              <w:t xml:space="preserve">EC </w:t>
            </w:r>
            <w:r w:rsidRPr="00BC2D08">
              <w:rPr>
                <w:rFonts w:ascii="Verdana" w:hAnsi="Verdana"/>
                <w:sz w:val="15"/>
                <w:szCs w:val="15"/>
              </w:rPr>
              <w:t xml:space="preserve"> and escalated to ARC.</w:t>
            </w:r>
          </w:p>
        </w:tc>
      </w:tr>
      <w:tr w:rsidR="00D4332E" w:rsidRPr="00733988" w14:paraId="4F1B01F6" w14:textId="77777777" w:rsidTr="00DA7282">
        <w:trPr>
          <w:trHeight w:val="841"/>
        </w:trPr>
        <w:tc>
          <w:tcPr>
            <w:tcW w:w="5388" w:type="dxa"/>
          </w:tcPr>
          <w:p w14:paraId="61681072" w14:textId="78B26C43" w:rsidR="00D4332E" w:rsidRPr="00D426B3" w:rsidRDefault="00D4332E" w:rsidP="00D4332E">
            <w:pPr>
              <w:pStyle w:val="Recitals"/>
              <w:numPr>
                <w:ilvl w:val="1"/>
                <w:numId w:val="28"/>
              </w:numPr>
              <w:tabs>
                <w:tab w:val="left" w:pos="460"/>
              </w:tabs>
              <w:spacing w:after="0" w:line="240" w:lineRule="auto"/>
              <w:ind w:left="459" w:hanging="460"/>
              <w:jc w:val="left"/>
              <w:rPr>
                <w:rFonts w:ascii="Verdana" w:hAnsi="Verdana"/>
                <w:color w:val="FF0000"/>
                <w:sz w:val="18"/>
                <w:szCs w:val="18"/>
              </w:rPr>
            </w:pPr>
            <w:r w:rsidRPr="00293544">
              <w:rPr>
                <w:rFonts w:ascii="Verdana" w:hAnsi="Verdana"/>
                <w:sz w:val="18"/>
                <w:szCs w:val="18"/>
              </w:rPr>
              <w:t xml:space="preserve">Voluntary winding up or entry into administration of any Group Company </w:t>
            </w:r>
            <w:r w:rsidRPr="00D426B3">
              <w:rPr>
                <w:rFonts w:ascii="Verdana" w:hAnsi="Verdana"/>
                <w:sz w:val="18"/>
                <w:szCs w:val="18"/>
              </w:rPr>
              <w:t xml:space="preserve">(Article 8.1 </w:t>
            </w:r>
            <w:r>
              <w:rPr>
                <w:rFonts w:ascii="Verdana" w:hAnsi="Verdana"/>
                <w:sz w:val="18"/>
                <w:szCs w:val="18"/>
              </w:rPr>
              <w:t>(I))</w:t>
            </w:r>
          </w:p>
        </w:tc>
        <w:tc>
          <w:tcPr>
            <w:tcW w:w="1701" w:type="dxa"/>
            <w:vAlign w:val="center"/>
          </w:tcPr>
          <w:p w14:paraId="361B8D94" w14:textId="05254EF0" w:rsidR="00D4332E" w:rsidRPr="00BC2D08" w:rsidRDefault="00D4332E" w:rsidP="00D4332E">
            <w:pPr>
              <w:pStyle w:val="ListParagraph"/>
              <w:ind w:left="33"/>
              <w:jc w:val="center"/>
              <w:rPr>
                <w:rFonts w:ascii="Verdana" w:hAnsi="Verdana"/>
                <w:color w:val="00B050"/>
                <w:sz w:val="15"/>
                <w:szCs w:val="15"/>
              </w:rPr>
            </w:pPr>
          </w:p>
          <w:p w14:paraId="5985D30B" w14:textId="6D57EDFF"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7DFE41BB" w14:textId="13AECAA1"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1E2CA2FD" w14:textId="33A02CE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3B5E7B1C" w14:textId="6A38EA9F"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w:t>
            </w:r>
          </w:p>
        </w:tc>
        <w:tc>
          <w:tcPr>
            <w:tcW w:w="1851" w:type="dxa"/>
            <w:vAlign w:val="center"/>
          </w:tcPr>
          <w:p w14:paraId="04B50B05" w14:textId="020D3A58"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w:t>
            </w:r>
          </w:p>
        </w:tc>
        <w:tc>
          <w:tcPr>
            <w:tcW w:w="1851" w:type="dxa"/>
            <w:vAlign w:val="center"/>
          </w:tcPr>
          <w:p w14:paraId="379DA6F0" w14:textId="1E6E335C" w:rsidR="00D4332E" w:rsidRPr="00BC2D08" w:rsidRDefault="00D4332E" w:rsidP="00D4332E">
            <w:pPr>
              <w:pStyle w:val="ListParagraph"/>
              <w:ind w:left="33"/>
              <w:jc w:val="center"/>
              <w:rPr>
                <w:rFonts w:ascii="Verdana" w:hAnsi="Verdana"/>
                <w:color w:val="00B050"/>
                <w:sz w:val="15"/>
                <w:szCs w:val="15"/>
              </w:rPr>
            </w:pPr>
          </w:p>
          <w:p w14:paraId="04E48673" w14:textId="7B2AFD33"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56BDFA81" w14:textId="77777777" w:rsidR="00D4332E" w:rsidRPr="00BC2D08" w:rsidRDefault="00D4332E" w:rsidP="00D4332E">
            <w:pPr>
              <w:jc w:val="center"/>
              <w:rPr>
                <w:rFonts w:ascii="Verdana" w:hAnsi="Verdana"/>
                <w:color w:val="00B050"/>
                <w:sz w:val="15"/>
                <w:szCs w:val="15"/>
              </w:rPr>
            </w:pPr>
          </w:p>
          <w:p w14:paraId="4E068CC5" w14:textId="513FFD1B" w:rsidR="00D4332E" w:rsidRPr="00BC2D08" w:rsidRDefault="00D4332E" w:rsidP="00D4332E">
            <w:pPr>
              <w:jc w:val="center"/>
              <w:rPr>
                <w:rFonts w:ascii="Verdana" w:hAnsi="Verdana"/>
                <w:color w:val="00B050"/>
                <w:sz w:val="15"/>
                <w:szCs w:val="15"/>
              </w:rPr>
            </w:pPr>
            <w:r w:rsidRPr="00BC2D08">
              <w:rPr>
                <w:rFonts w:ascii="Verdana" w:hAnsi="Verdana"/>
                <w:sz w:val="15"/>
                <w:szCs w:val="15"/>
              </w:rPr>
              <w:t>Consent</w:t>
            </w:r>
          </w:p>
        </w:tc>
        <w:tc>
          <w:tcPr>
            <w:tcW w:w="5704" w:type="dxa"/>
            <w:vAlign w:val="center"/>
          </w:tcPr>
          <w:p w14:paraId="6C5334BC" w14:textId="1480C22F" w:rsidR="00D4332E" w:rsidRPr="00BC2D08" w:rsidRDefault="00D4332E" w:rsidP="00D4332E">
            <w:pPr>
              <w:jc w:val="center"/>
              <w:rPr>
                <w:rFonts w:ascii="Verdana" w:hAnsi="Verdana"/>
                <w:sz w:val="15"/>
                <w:szCs w:val="15"/>
              </w:rPr>
            </w:pPr>
          </w:p>
        </w:tc>
      </w:tr>
      <w:tr w:rsidR="00D4332E" w:rsidRPr="00733988" w14:paraId="09135F39" w14:textId="77777777" w:rsidTr="00DA7282">
        <w:trPr>
          <w:trHeight w:val="841"/>
        </w:trPr>
        <w:tc>
          <w:tcPr>
            <w:tcW w:w="5388" w:type="dxa"/>
          </w:tcPr>
          <w:p w14:paraId="46979B66" w14:textId="6FF0427E" w:rsidR="00D4332E" w:rsidRPr="00347E77" w:rsidRDefault="00D4332E" w:rsidP="00D4332E">
            <w:pPr>
              <w:pStyle w:val="Recitals"/>
              <w:numPr>
                <w:ilvl w:val="1"/>
                <w:numId w:val="28"/>
              </w:numPr>
              <w:spacing w:after="0" w:line="240" w:lineRule="auto"/>
              <w:ind w:left="459" w:hanging="460"/>
              <w:jc w:val="left"/>
              <w:rPr>
                <w:rFonts w:ascii="Verdana" w:hAnsi="Verdana"/>
                <w:sz w:val="18"/>
                <w:szCs w:val="18"/>
              </w:rPr>
            </w:pPr>
            <w:r w:rsidRPr="00293544">
              <w:rPr>
                <w:rFonts w:ascii="Verdana" w:hAnsi="Verdana"/>
                <w:sz w:val="18"/>
                <w:szCs w:val="18"/>
              </w:rPr>
              <w:t>Redemption or purchase of the Company’s own shares or reduction in share capita</w:t>
            </w:r>
            <w:r>
              <w:rPr>
                <w:rFonts w:ascii="Verdana" w:hAnsi="Verdana"/>
                <w:sz w:val="18"/>
                <w:szCs w:val="18"/>
              </w:rPr>
              <w:t xml:space="preserve">l </w:t>
            </w:r>
            <w:r w:rsidRPr="00347E77">
              <w:rPr>
                <w:rFonts w:ascii="Verdana" w:hAnsi="Verdana"/>
                <w:sz w:val="18"/>
                <w:szCs w:val="18"/>
              </w:rPr>
              <w:t>(Article 8.1 (J))</w:t>
            </w:r>
            <w:r>
              <w:rPr>
                <w:rFonts w:ascii="Verdana" w:hAnsi="Verdana"/>
                <w:sz w:val="18"/>
                <w:szCs w:val="18"/>
              </w:rPr>
              <w:br/>
            </w:r>
            <w:r w:rsidRPr="00347E77">
              <w:rPr>
                <w:rFonts w:ascii="Verdana" w:hAnsi="Verdana"/>
                <w:sz w:val="18"/>
                <w:szCs w:val="18"/>
              </w:rPr>
              <w:t>(Article 8.1 (J))</w:t>
            </w:r>
          </w:p>
        </w:tc>
        <w:tc>
          <w:tcPr>
            <w:tcW w:w="1701" w:type="dxa"/>
            <w:vAlign w:val="center"/>
          </w:tcPr>
          <w:p w14:paraId="7315A607" w14:textId="4D10CC23"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208F5E58" w14:textId="589C347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37231CED" w14:textId="7B9566EF"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1B99AD0A" w14:textId="689DCC8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21DF39A" w14:textId="5083EFF9"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3E1ACF4" w14:textId="10A5C25C"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43B4EF8C" w14:textId="63C7FDDF" w:rsidR="00D4332E" w:rsidRPr="00BC2D08" w:rsidRDefault="00D4332E" w:rsidP="00D4332E">
            <w:pPr>
              <w:jc w:val="center"/>
              <w:rPr>
                <w:rFonts w:ascii="Verdana" w:hAnsi="Verdana"/>
                <w:color w:val="00B050"/>
                <w:sz w:val="15"/>
                <w:szCs w:val="15"/>
              </w:rPr>
            </w:pPr>
            <w:r w:rsidRPr="00BC2D08">
              <w:rPr>
                <w:rFonts w:ascii="Verdana" w:hAnsi="Verdana"/>
                <w:sz w:val="15"/>
                <w:szCs w:val="15"/>
              </w:rPr>
              <w:t>Consent</w:t>
            </w:r>
          </w:p>
        </w:tc>
        <w:tc>
          <w:tcPr>
            <w:tcW w:w="5704" w:type="dxa"/>
            <w:vAlign w:val="center"/>
          </w:tcPr>
          <w:p w14:paraId="0F569EB6" w14:textId="5DF3AF2C" w:rsidR="00D4332E" w:rsidRPr="00BC2D08" w:rsidRDefault="00D4332E" w:rsidP="00D4332E">
            <w:pPr>
              <w:jc w:val="center"/>
              <w:rPr>
                <w:rFonts w:ascii="Verdana" w:hAnsi="Verdana"/>
                <w:sz w:val="15"/>
                <w:szCs w:val="15"/>
              </w:rPr>
            </w:pPr>
          </w:p>
        </w:tc>
      </w:tr>
      <w:tr w:rsidR="00D4332E" w:rsidRPr="00733988" w14:paraId="047C0A3C" w14:textId="77777777" w:rsidTr="00DA7282">
        <w:trPr>
          <w:trHeight w:val="841"/>
        </w:trPr>
        <w:tc>
          <w:tcPr>
            <w:tcW w:w="5388" w:type="dxa"/>
          </w:tcPr>
          <w:p w14:paraId="416619CF" w14:textId="6F33DB39" w:rsidR="00D4332E" w:rsidRPr="00293544" w:rsidRDefault="00D4332E" w:rsidP="00D4332E">
            <w:pPr>
              <w:pStyle w:val="Recitals"/>
              <w:numPr>
                <w:ilvl w:val="0"/>
                <w:numId w:val="0"/>
              </w:numPr>
              <w:spacing w:after="0" w:line="240" w:lineRule="auto"/>
              <w:ind w:left="459" w:hanging="460"/>
              <w:jc w:val="left"/>
              <w:rPr>
                <w:rFonts w:ascii="Verdana" w:hAnsi="Verdana"/>
                <w:sz w:val="18"/>
                <w:szCs w:val="18"/>
              </w:rPr>
            </w:pPr>
            <w:r>
              <w:rPr>
                <w:rFonts w:ascii="Verdana" w:hAnsi="Verdana"/>
                <w:sz w:val="18"/>
                <w:szCs w:val="18"/>
              </w:rPr>
              <w:t>2.4</w:t>
            </w:r>
            <w:r w:rsidRPr="00293544">
              <w:rPr>
                <w:rFonts w:ascii="Verdana" w:hAnsi="Verdana"/>
                <w:color w:val="FF0000"/>
                <w:sz w:val="18"/>
                <w:szCs w:val="18"/>
              </w:rPr>
              <w:t xml:space="preserve"> </w:t>
            </w:r>
            <w:r>
              <w:rPr>
                <w:rFonts w:ascii="Verdana" w:hAnsi="Verdana"/>
                <w:color w:val="FF0000"/>
                <w:sz w:val="18"/>
                <w:szCs w:val="18"/>
              </w:rPr>
              <w:t xml:space="preserve"> </w:t>
            </w:r>
            <w:r w:rsidRPr="00293544">
              <w:rPr>
                <w:rFonts w:ascii="Verdana" w:hAnsi="Verdana"/>
                <w:sz w:val="18"/>
                <w:szCs w:val="18"/>
              </w:rPr>
              <w:t>Set up of a new subsidiary company or any action relating to shares in an existing Group Company</w:t>
            </w:r>
            <w:r>
              <w:rPr>
                <w:rFonts w:ascii="Verdana" w:hAnsi="Verdana"/>
                <w:sz w:val="18"/>
                <w:szCs w:val="18"/>
              </w:rPr>
              <w:t xml:space="preserve"> or associated undertaking</w:t>
            </w:r>
            <w:r>
              <w:rPr>
                <w:rStyle w:val="FootnoteReference"/>
                <w:rFonts w:ascii="Verdana" w:hAnsi="Verdana"/>
                <w:sz w:val="18"/>
                <w:szCs w:val="18"/>
              </w:rPr>
              <w:footnoteReference w:id="5"/>
            </w:r>
            <w:r>
              <w:rPr>
                <w:rFonts w:ascii="Verdana" w:hAnsi="Verdana"/>
                <w:sz w:val="18"/>
                <w:szCs w:val="18"/>
              </w:rPr>
              <w:t xml:space="preserve"> (Article 8.1 </w:t>
            </w:r>
            <w:r w:rsidRPr="00293544">
              <w:rPr>
                <w:rFonts w:ascii="Verdana" w:hAnsi="Verdana"/>
                <w:sz w:val="18"/>
                <w:szCs w:val="18"/>
              </w:rPr>
              <w:t>(K)</w:t>
            </w:r>
            <w:r>
              <w:rPr>
                <w:rFonts w:ascii="Verdana" w:hAnsi="Verdana"/>
                <w:sz w:val="18"/>
                <w:szCs w:val="18"/>
              </w:rPr>
              <w:t xml:space="preserve"> &amp; (L)</w:t>
            </w:r>
            <w:r w:rsidRPr="00293544">
              <w:rPr>
                <w:rFonts w:ascii="Verdana" w:hAnsi="Verdana"/>
                <w:sz w:val="18"/>
                <w:szCs w:val="18"/>
              </w:rPr>
              <w:t>)</w:t>
            </w:r>
            <w:r w:rsidRPr="00293544">
              <w:rPr>
                <w:rFonts w:ascii="Verdana" w:hAnsi="Verdana"/>
                <w:color w:val="FF0000"/>
                <w:sz w:val="18"/>
                <w:szCs w:val="18"/>
              </w:rPr>
              <w:t xml:space="preserve"> </w:t>
            </w:r>
          </w:p>
        </w:tc>
        <w:tc>
          <w:tcPr>
            <w:tcW w:w="1701" w:type="dxa"/>
            <w:vAlign w:val="center"/>
          </w:tcPr>
          <w:p w14:paraId="5306D562" w14:textId="515583DC" w:rsidR="00D4332E" w:rsidRPr="00BC2D08" w:rsidRDefault="00D4332E" w:rsidP="00D4332E">
            <w:pPr>
              <w:pStyle w:val="ListParagraph"/>
              <w:ind w:left="33"/>
              <w:jc w:val="center"/>
              <w:rPr>
                <w:rFonts w:ascii="Verdana" w:hAnsi="Verdana"/>
                <w:color w:val="00B050"/>
                <w:sz w:val="15"/>
                <w:szCs w:val="15"/>
              </w:rPr>
            </w:pPr>
          </w:p>
          <w:p w14:paraId="33DB62FA" w14:textId="396C1382"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0270D7DB" w14:textId="53079A46"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3E15A787" w14:textId="65B65D7F"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407D8534" w14:textId="124CD4A0"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53C663C" w14:textId="709A1187" w:rsidR="00D4332E" w:rsidRPr="00BC2D08" w:rsidRDefault="00D4332E" w:rsidP="00D4332E">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32E4D03" w14:textId="401AF52C" w:rsidR="00D4332E" w:rsidRPr="00BC2D08" w:rsidRDefault="00D4332E" w:rsidP="00D4332E">
            <w:pPr>
              <w:pStyle w:val="ListParagraph"/>
              <w:ind w:left="33"/>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1EDDD146" w14:textId="77777777" w:rsidR="00D4332E" w:rsidRPr="00BC2D08" w:rsidRDefault="00D4332E" w:rsidP="00D4332E">
            <w:pPr>
              <w:jc w:val="center"/>
              <w:rPr>
                <w:rFonts w:ascii="Verdana" w:hAnsi="Verdana"/>
                <w:color w:val="00B050"/>
                <w:sz w:val="15"/>
                <w:szCs w:val="15"/>
              </w:rPr>
            </w:pPr>
          </w:p>
          <w:p w14:paraId="124D305A" w14:textId="3EB22373" w:rsidR="00D4332E" w:rsidRPr="00BC2D08" w:rsidRDefault="00D4332E" w:rsidP="00D4332E">
            <w:pPr>
              <w:jc w:val="center"/>
              <w:rPr>
                <w:rFonts w:ascii="Verdana" w:hAnsi="Verdana"/>
                <w:color w:val="00B050"/>
                <w:sz w:val="15"/>
                <w:szCs w:val="15"/>
              </w:rPr>
            </w:pPr>
            <w:r w:rsidRPr="00BC2D08">
              <w:rPr>
                <w:rFonts w:ascii="Verdana" w:hAnsi="Verdana"/>
                <w:sz w:val="15"/>
                <w:szCs w:val="15"/>
              </w:rPr>
              <w:t>Consent</w:t>
            </w:r>
          </w:p>
        </w:tc>
        <w:tc>
          <w:tcPr>
            <w:tcW w:w="5704" w:type="dxa"/>
            <w:vAlign w:val="center"/>
          </w:tcPr>
          <w:p w14:paraId="3644B261" w14:textId="6C9A40FA" w:rsidR="00D4332E" w:rsidRPr="00BC2D08" w:rsidRDefault="00D4332E" w:rsidP="00D4332E">
            <w:pPr>
              <w:jc w:val="center"/>
              <w:rPr>
                <w:rFonts w:ascii="Verdana" w:hAnsi="Verdana"/>
                <w:sz w:val="15"/>
                <w:szCs w:val="15"/>
              </w:rPr>
            </w:pPr>
          </w:p>
        </w:tc>
      </w:tr>
      <w:tr w:rsidR="003F3B58" w:rsidRPr="00733988" w14:paraId="7AAF5C13" w14:textId="77777777" w:rsidTr="00426501">
        <w:trPr>
          <w:trHeight w:val="841"/>
        </w:trPr>
        <w:tc>
          <w:tcPr>
            <w:tcW w:w="5388" w:type="dxa"/>
          </w:tcPr>
          <w:p w14:paraId="722B071C" w14:textId="71EF6208" w:rsidR="003F3B58" w:rsidRPr="00293544" w:rsidRDefault="003F3B58" w:rsidP="003F3B58">
            <w:pPr>
              <w:pStyle w:val="Recitals"/>
              <w:numPr>
                <w:ilvl w:val="0"/>
                <w:numId w:val="0"/>
              </w:numPr>
              <w:spacing w:after="0" w:line="240" w:lineRule="auto"/>
              <w:ind w:left="459" w:hanging="460"/>
              <w:jc w:val="left"/>
              <w:rPr>
                <w:rFonts w:ascii="Verdana" w:hAnsi="Verdana"/>
                <w:sz w:val="18"/>
                <w:szCs w:val="18"/>
              </w:rPr>
            </w:pPr>
            <w:r w:rsidRPr="00293544">
              <w:rPr>
                <w:rFonts w:ascii="Verdana" w:hAnsi="Verdana"/>
                <w:sz w:val="18"/>
                <w:szCs w:val="18"/>
              </w:rPr>
              <w:t xml:space="preserve">2.5 </w:t>
            </w:r>
            <w:r>
              <w:rPr>
                <w:rFonts w:ascii="Verdana" w:hAnsi="Verdana"/>
                <w:sz w:val="18"/>
                <w:szCs w:val="18"/>
              </w:rPr>
              <w:t xml:space="preserve"> </w:t>
            </w:r>
            <w:r w:rsidRPr="00293544">
              <w:rPr>
                <w:rFonts w:ascii="Verdana" w:hAnsi="Verdana"/>
                <w:sz w:val="18"/>
                <w:szCs w:val="18"/>
              </w:rPr>
              <w:t xml:space="preserve">The amalgamation or merger of any member of the Group with any other company or business undertaking </w:t>
            </w:r>
            <w:r>
              <w:rPr>
                <w:rFonts w:ascii="Verdana" w:hAnsi="Verdana"/>
                <w:sz w:val="18"/>
                <w:szCs w:val="18"/>
              </w:rPr>
              <w:t>(Article 8.1 (M))</w:t>
            </w:r>
          </w:p>
        </w:tc>
        <w:tc>
          <w:tcPr>
            <w:tcW w:w="1701" w:type="dxa"/>
            <w:vAlign w:val="center"/>
          </w:tcPr>
          <w:p w14:paraId="4BBC2E3D" w14:textId="19E108BB" w:rsidR="003F3B58" w:rsidRPr="00BC2D08" w:rsidRDefault="003F3B58" w:rsidP="003F3B58">
            <w:pPr>
              <w:pStyle w:val="ListParagraph"/>
              <w:ind w:left="33"/>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0D46AC0F" w14:textId="470581D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B438361" w14:textId="3952638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09EFE1EC" w14:textId="49DFBCCC"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B339BF8" w14:textId="0DA075A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3958A2E" w14:textId="67E4AFA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2AE2F575" w14:textId="7A5F3036" w:rsidR="003F3B58" w:rsidRPr="00BC2D08" w:rsidRDefault="003F3B58" w:rsidP="003F3B58">
            <w:pPr>
              <w:jc w:val="center"/>
              <w:rPr>
                <w:rFonts w:ascii="Verdana" w:hAnsi="Verdana"/>
                <w:color w:val="00B050"/>
                <w:sz w:val="15"/>
                <w:szCs w:val="15"/>
              </w:rPr>
            </w:pPr>
            <w:r w:rsidRPr="00BC2D08">
              <w:rPr>
                <w:rFonts w:ascii="Verdana" w:hAnsi="Verdana"/>
                <w:sz w:val="15"/>
                <w:szCs w:val="15"/>
              </w:rPr>
              <w:t>Consent</w:t>
            </w:r>
          </w:p>
        </w:tc>
        <w:tc>
          <w:tcPr>
            <w:tcW w:w="5704" w:type="dxa"/>
            <w:vAlign w:val="center"/>
          </w:tcPr>
          <w:p w14:paraId="5FEF4ED0" w14:textId="3455A734" w:rsidR="003F3B58" w:rsidRPr="00BC2D08" w:rsidRDefault="003F3B58" w:rsidP="003F3B58">
            <w:pPr>
              <w:jc w:val="center"/>
              <w:rPr>
                <w:rFonts w:ascii="Verdana" w:hAnsi="Verdana"/>
                <w:sz w:val="15"/>
                <w:szCs w:val="15"/>
              </w:rPr>
            </w:pPr>
          </w:p>
        </w:tc>
      </w:tr>
      <w:tr w:rsidR="003F3B58" w:rsidRPr="00733988" w14:paraId="10C1E3AA" w14:textId="77777777" w:rsidTr="00426501">
        <w:trPr>
          <w:trHeight w:val="841"/>
        </w:trPr>
        <w:tc>
          <w:tcPr>
            <w:tcW w:w="5388" w:type="dxa"/>
          </w:tcPr>
          <w:p w14:paraId="300D798E" w14:textId="21BC9334" w:rsidR="003F3B58" w:rsidRPr="00293544" w:rsidRDefault="003F3B58" w:rsidP="003F3B58">
            <w:pPr>
              <w:pStyle w:val="Recitals"/>
              <w:numPr>
                <w:ilvl w:val="0"/>
                <w:numId w:val="0"/>
              </w:numPr>
              <w:spacing w:after="0" w:line="240" w:lineRule="auto"/>
              <w:ind w:left="459" w:hanging="460"/>
              <w:jc w:val="left"/>
              <w:rPr>
                <w:rFonts w:ascii="Verdana" w:hAnsi="Verdana"/>
                <w:sz w:val="18"/>
                <w:szCs w:val="18"/>
              </w:rPr>
            </w:pPr>
            <w:r w:rsidRPr="00293544">
              <w:rPr>
                <w:rFonts w:ascii="Verdana" w:hAnsi="Verdana"/>
                <w:sz w:val="18"/>
                <w:szCs w:val="18"/>
              </w:rPr>
              <w:lastRenderedPageBreak/>
              <w:t xml:space="preserve">2.6 </w:t>
            </w:r>
            <w:r>
              <w:rPr>
                <w:rFonts w:ascii="Verdana" w:hAnsi="Verdana"/>
                <w:sz w:val="18"/>
                <w:szCs w:val="18"/>
              </w:rPr>
              <w:t xml:space="preserve"> </w:t>
            </w:r>
            <w:r w:rsidRPr="00293544">
              <w:rPr>
                <w:rFonts w:ascii="Verdana" w:hAnsi="Verdana"/>
                <w:sz w:val="18"/>
                <w:szCs w:val="18"/>
              </w:rPr>
              <w:t>The creation or granting of any encumbrance relating to the Company’s business, undertaking, assets or Shares unless arising in the ordinary course of business</w:t>
            </w:r>
            <w:r>
              <w:rPr>
                <w:rStyle w:val="FootnoteReference"/>
                <w:rFonts w:ascii="Verdana" w:hAnsi="Verdana"/>
                <w:sz w:val="18"/>
                <w:szCs w:val="18"/>
              </w:rPr>
              <w:footnoteReference w:id="6"/>
            </w:r>
            <w:r>
              <w:rPr>
                <w:rFonts w:ascii="Verdana" w:hAnsi="Verdana"/>
                <w:sz w:val="18"/>
                <w:szCs w:val="18"/>
              </w:rPr>
              <w:t xml:space="preserve"> (Article 8.1 </w:t>
            </w:r>
            <w:r w:rsidRPr="00293544">
              <w:rPr>
                <w:rFonts w:ascii="Verdana" w:hAnsi="Verdana"/>
                <w:sz w:val="18"/>
                <w:szCs w:val="18"/>
              </w:rPr>
              <w:t>(N))</w:t>
            </w:r>
          </w:p>
        </w:tc>
        <w:tc>
          <w:tcPr>
            <w:tcW w:w="1701" w:type="dxa"/>
            <w:vAlign w:val="center"/>
          </w:tcPr>
          <w:p w14:paraId="3E544921" w14:textId="63CDC90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4286570C" w14:textId="479B4E7A"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36C63BF4" w14:textId="2C1E7A2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61ED91A7" w14:textId="433C023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5553517" w14:textId="5FCE93D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26C7092" w14:textId="418B3AA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05276B7B" w14:textId="64140FCA" w:rsidR="003F3B58" w:rsidRPr="00BC2D08" w:rsidRDefault="003F3B58" w:rsidP="003F3B58">
            <w:pPr>
              <w:jc w:val="center"/>
              <w:rPr>
                <w:rFonts w:ascii="Verdana" w:hAnsi="Verdana"/>
                <w:sz w:val="15"/>
                <w:szCs w:val="15"/>
              </w:rPr>
            </w:pPr>
            <w:r w:rsidRPr="00BC2D08">
              <w:rPr>
                <w:rFonts w:ascii="Verdana" w:hAnsi="Verdana"/>
                <w:sz w:val="15"/>
                <w:szCs w:val="15"/>
              </w:rPr>
              <w:t>Consent</w:t>
            </w:r>
          </w:p>
        </w:tc>
        <w:tc>
          <w:tcPr>
            <w:tcW w:w="5704" w:type="dxa"/>
            <w:vAlign w:val="center"/>
          </w:tcPr>
          <w:p w14:paraId="54530A60" w14:textId="70D2EF63" w:rsidR="003F3B58" w:rsidRPr="00BC2D08" w:rsidRDefault="003F3B58" w:rsidP="003F3B58">
            <w:pPr>
              <w:jc w:val="center"/>
              <w:rPr>
                <w:rFonts w:ascii="Verdana" w:hAnsi="Verdana"/>
                <w:sz w:val="15"/>
                <w:szCs w:val="15"/>
              </w:rPr>
            </w:pPr>
          </w:p>
        </w:tc>
      </w:tr>
      <w:tr w:rsidR="003F3B58" w:rsidRPr="00733988" w14:paraId="715F97A8" w14:textId="77777777" w:rsidTr="00426501">
        <w:trPr>
          <w:trHeight w:val="841"/>
        </w:trPr>
        <w:tc>
          <w:tcPr>
            <w:tcW w:w="5388" w:type="dxa"/>
          </w:tcPr>
          <w:p w14:paraId="6C9F72B7" w14:textId="63CDFF95" w:rsidR="003F3B58" w:rsidRPr="00293544" w:rsidRDefault="003F3B58" w:rsidP="003F3B58">
            <w:pPr>
              <w:pStyle w:val="Recitals"/>
              <w:numPr>
                <w:ilvl w:val="0"/>
                <w:numId w:val="0"/>
              </w:numPr>
              <w:spacing w:after="0" w:line="240" w:lineRule="auto"/>
              <w:ind w:left="459" w:hanging="460"/>
              <w:jc w:val="left"/>
              <w:rPr>
                <w:rFonts w:ascii="Verdana" w:hAnsi="Verdana"/>
                <w:sz w:val="18"/>
                <w:szCs w:val="18"/>
              </w:rPr>
            </w:pPr>
            <w:r>
              <w:rPr>
                <w:rFonts w:ascii="Verdana" w:hAnsi="Verdana"/>
                <w:sz w:val="18"/>
                <w:szCs w:val="18"/>
              </w:rPr>
              <w:t>2.7  T</w:t>
            </w:r>
            <w:r w:rsidRPr="00293544">
              <w:rPr>
                <w:rFonts w:ascii="Verdana" w:hAnsi="Verdana"/>
                <w:sz w:val="18"/>
                <w:szCs w:val="18"/>
              </w:rPr>
              <w:t>he restructure or reorganisation of the Group structure such that any Group company’s shareholding in its subsidiary undertakings is a</w:t>
            </w:r>
            <w:r>
              <w:rPr>
                <w:rFonts w:ascii="Verdana" w:hAnsi="Verdana"/>
                <w:sz w:val="18"/>
                <w:szCs w:val="18"/>
              </w:rPr>
              <w:t>ltered or amended (Article 8.1</w:t>
            </w:r>
            <w:r w:rsidRPr="00293544">
              <w:rPr>
                <w:rFonts w:ascii="Verdana" w:hAnsi="Verdana"/>
                <w:sz w:val="18"/>
                <w:szCs w:val="18"/>
              </w:rPr>
              <w:t xml:space="preserve"> (P))</w:t>
            </w:r>
          </w:p>
        </w:tc>
        <w:tc>
          <w:tcPr>
            <w:tcW w:w="1701" w:type="dxa"/>
            <w:vAlign w:val="center"/>
          </w:tcPr>
          <w:p w14:paraId="12ED445E" w14:textId="55D9F13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33648D96" w14:textId="0F1D5B6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33987940" w14:textId="74480AA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0F1AF5DE" w14:textId="4DD1C65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D02DF82" w14:textId="130B32F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22A76AEB" w14:textId="4DDE878C"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0BBD6FFF" w14:textId="3F3CFD57" w:rsidR="003F3B58" w:rsidRPr="00BC2D08" w:rsidRDefault="003F3B58" w:rsidP="003F3B58">
            <w:pPr>
              <w:jc w:val="center"/>
              <w:rPr>
                <w:rFonts w:ascii="Verdana" w:hAnsi="Verdana"/>
                <w:sz w:val="15"/>
                <w:szCs w:val="15"/>
              </w:rPr>
            </w:pPr>
            <w:r w:rsidRPr="00BC2D08">
              <w:rPr>
                <w:rFonts w:ascii="Verdana" w:hAnsi="Verdana"/>
                <w:sz w:val="15"/>
                <w:szCs w:val="15"/>
              </w:rPr>
              <w:t>Consent</w:t>
            </w:r>
          </w:p>
        </w:tc>
        <w:tc>
          <w:tcPr>
            <w:tcW w:w="5704" w:type="dxa"/>
            <w:vAlign w:val="center"/>
          </w:tcPr>
          <w:p w14:paraId="7D7E4D12" w14:textId="61CBD597" w:rsidR="003F3B58" w:rsidRPr="00BC2D08" w:rsidRDefault="003F3B58" w:rsidP="003F3B58">
            <w:pPr>
              <w:jc w:val="center"/>
              <w:rPr>
                <w:rFonts w:ascii="Verdana" w:hAnsi="Verdana"/>
                <w:sz w:val="15"/>
                <w:szCs w:val="15"/>
              </w:rPr>
            </w:pPr>
          </w:p>
        </w:tc>
      </w:tr>
      <w:tr w:rsidR="003F3B58" w:rsidRPr="00733988" w14:paraId="46A1EA8D" w14:textId="77777777" w:rsidTr="00426501">
        <w:trPr>
          <w:trHeight w:val="841"/>
        </w:trPr>
        <w:tc>
          <w:tcPr>
            <w:tcW w:w="5388" w:type="dxa"/>
          </w:tcPr>
          <w:p w14:paraId="6114BFB0" w14:textId="62B6CC33" w:rsidR="003F3B58" w:rsidRPr="00293544" w:rsidRDefault="003F3B58" w:rsidP="003F3B58">
            <w:pPr>
              <w:pStyle w:val="Recitals"/>
              <w:numPr>
                <w:ilvl w:val="0"/>
                <w:numId w:val="0"/>
              </w:numPr>
              <w:spacing w:after="0" w:line="240" w:lineRule="auto"/>
              <w:ind w:left="459" w:hanging="460"/>
              <w:jc w:val="left"/>
              <w:rPr>
                <w:rFonts w:ascii="Verdana" w:hAnsi="Verdana"/>
                <w:sz w:val="18"/>
                <w:szCs w:val="18"/>
              </w:rPr>
            </w:pPr>
            <w:r w:rsidRPr="00293544">
              <w:rPr>
                <w:rFonts w:ascii="Verdana" w:hAnsi="Verdana"/>
                <w:sz w:val="18"/>
                <w:szCs w:val="18"/>
              </w:rPr>
              <w:t xml:space="preserve">2.8 </w:t>
            </w:r>
            <w:r>
              <w:rPr>
                <w:rFonts w:ascii="Verdana" w:hAnsi="Verdana"/>
                <w:sz w:val="18"/>
                <w:szCs w:val="18"/>
              </w:rPr>
              <w:t xml:space="preserve"> </w:t>
            </w:r>
            <w:r w:rsidRPr="009530E9">
              <w:rPr>
                <w:rFonts w:ascii="Verdana" w:hAnsi="Verdana"/>
                <w:sz w:val="18"/>
                <w:szCs w:val="18"/>
              </w:rPr>
              <w:t>The  actual or proposed presentation of a petition</w:t>
            </w:r>
            <w:r w:rsidRPr="00293544">
              <w:rPr>
                <w:rFonts w:ascii="Verdana" w:hAnsi="Verdana"/>
                <w:sz w:val="18"/>
                <w:szCs w:val="18"/>
              </w:rPr>
              <w:t xml:space="preserve"> to appoint an administrator for any company in the Group (including POL)</w:t>
            </w:r>
            <w:r>
              <w:rPr>
                <w:rFonts w:ascii="Verdana" w:hAnsi="Verdana"/>
                <w:sz w:val="18"/>
                <w:szCs w:val="18"/>
              </w:rPr>
              <w:t xml:space="preserve"> (Article 8.1 (Q))</w:t>
            </w:r>
          </w:p>
        </w:tc>
        <w:tc>
          <w:tcPr>
            <w:tcW w:w="1701" w:type="dxa"/>
            <w:vAlign w:val="center"/>
          </w:tcPr>
          <w:p w14:paraId="225E5667" w14:textId="4374B807"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18256697" w14:textId="0BFD3B7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DDD7908" w14:textId="0CDEE00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59BD2806" w14:textId="728BF86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D2ED64B" w14:textId="2FB00C7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601D790" w14:textId="69729E4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5FB75C91" w14:textId="696C8B69" w:rsidR="003F3B58" w:rsidRPr="00BC2D08" w:rsidRDefault="003F3B58" w:rsidP="003F3B58">
            <w:pPr>
              <w:jc w:val="center"/>
              <w:rPr>
                <w:rFonts w:ascii="Verdana" w:hAnsi="Verdana"/>
                <w:sz w:val="15"/>
                <w:szCs w:val="15"/>
              </w:rPr>
            </w:pPr>
            <w:r w:rsidRPr="00BC2D08">
              <w:rPr>
                <w:rFonts w:ascii="Verdana" w:hAnsi="Verdana"/>
                <w:sz w:val="15"/>
                <w:szCs w:val="15"/>
              </w:rPr>
              <w:t>Consent</w:t>
            </w:r>
          </w:p>
        </w:tc>
        <w:tc>
          <w:tcPr>
            <w:tcW w:w="5704" w:type="dxa"/>
            <w:vAlign w:val="center"/>
          </w:tcPr>
          <w:p w14:paraId="18671BCB" w14:textId="290C6951" w:rsidR="003F3B58" w:rsidRPr="00BC2D08" w:rsidRDefault="003F3B58" w:rsidP="003F3B58">
            <w:pPr>
              <w:jc w:val="center"/>
              <w:rPr>
                <w:rFonts w:ascii="Verdana" w:hAnsi="Verdana"/>
                <w:sz w:val="15"/>
                <w:szCs w:val="15"/>
              </w:rPr>
            </w:pPr>
          </w:p>
        </w:tc>
      </w:tr>
      <w:tr w:rsidR="003F3B58" w:rsidRPr="00733988" w14:paraId="7AF58B1C" w14:textId="77777777" w:rsidTr="00426501">
        <w:trPr>
          <w:trHeight w:val="841"/>
        </w:trPr>
        <w:tc>
          <w:tcPr>
            <w:tcW w:w="5388" w:type="dxa"/>
          </w:tcPr>
          <w:p w14:paraId="50D9C345" w14:textId="2BB83C64" w:rsidR="003F3B58" w:rsidRPr="00293544" w:rsidRDefault="003F3B58" w:rsidP="003F3B58">
            <w:pPr>
              <w:pStyle w:val="Recitals"/>
              <w:numPr>
                <w:ilvl w:val="0"/>
                <w:numId w:val="0"/>
              </w:numPr>
              <w:spacing w:after="0" w:line="240" w:lineRule="auto"/>
              <w:ind w:left="459" w:hanging="426"/>
              <w:jc w:val="left"/>
              <w:rPr>
                <w:rFonts w:ascii="Verdana" w:hAnsi="Verdana"/>
                <w:sz w:val="18"/>
                <w:szCs w:val="18"/>
              </w:rPr>
            </w:pPr>
            <w:r w:rsidRPr="00293544">
              <w:rPr>
                <w:rFonts w:ascii="Verdana" w:hAnsi="Verdana"/>
                <w:sz w:val="18"/>
                <w:szCs w:val="18"/>
              </w:rPr>
              <w:t xml:space="preserve">2.9 </w:t>
            </w:r>
            <w:r>
              <w:rPr>
                <w:rFonts w:ascii="Verdana" w:hAnsi="Verdana"/>
                <w:sz w:val="18"/>
                <w:szCs w:val="18"/>
              </w:rPr>
              <w:t xml:space="preserve"> </w:t>
            </w:r>
            <w:r w:rsidRPr="00293544">
              <w:rPr>
                <w:rFonts w:ascii="Verdana" w:hAnsi="Verdana"/>
                <w:sz w:val="18"/>
                <w:szCs w:val="18"/>
              </w:rPr>
              <w:t>Any action in relation to the Post Office Trade Mark which prevents the Group using the Trade Mark, including sale, assignment, charging, mortgaging, granting of licence or disposal</w:t>
            </w:r>
            <w:r>
              <w:rPr>
                <w:rFonts w:ascii="Verdana" w:hAnsi="Verdana"/>
                <w:sz w:val="18"/>
                <w:szCs w:val="18"/>
              </w:rPr>
              <w:t xml:space="preserve"> (Article 8.1 </w:t>
            </w:r>
            <w:r w:rsidRPr="00293544">
              <w:rPr>
                <w:rFonts w:ascii="Verdana" w:hAnsi="Verdana"/>
                <w:sz w:val="18"/>
                <w:szCs w:val="18"/>
              </w:rPr>
              <w:t>(Z))</w:t>
            </w:r>
          </w:p>
        </w:tc>
        <w:tc>
          <w:tcPr>
            <w:tcW w:w="1701" w:type="dxa"/>
            <w:vAlign w:val="center"/>
          </w:tcPr>
          <w:p w14:paraId="2F4D6265" w14:textId="58BD3D7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46C4963B" w14:textId="674A357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7EC43198" w14:textId="24F326F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6DCC7728" w14:textId="3C2ECC6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A9C9446" w14:textId="0FDB3B67" w:rsidR="003F3B58" w:rsidRPr="00BC2D08" w:rsidRDefault="003F3B58" w:rsidP="003F3B58">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32852B85" w14:textId="056479A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39E36E20" w14:textId="671DCF9C" w:rsidR="003F3B58" w:rsidRPr="00BC2D08" w:rsidRDefault="003F3B58" w:rsidP="003F3B58">
            <w:pPr>
              <w:jc w:val="center"/>
              <w:rPr>
                <w:rFonts w:ascii="Verdana" w:hAnsi="Verdana"/>
                <w:sz w:val="15"/>
                <w:szCs w:val="15"/>
              </w:rPr>
            </w:pPr>
            <w:r w:rsidRPr="00BC2D08">
              <w:rPr>
                <w:rFonts w:ascii="Verdana" w:hAnsi="Verdana"/>
                <w:sz w:val="15"/>
                <w:szCs w:val="15"/>
              </w:rPr>
              <w:t>Consent</w:t>
            </w:r>
          </w:p>
        </w:tc>
        <w:tc>
          <w:tcPr>
            <w:tcW w:w="5704" w:type="dxa"/>
            <w:vAlign w:val="center"/>
          </w:tcPr>
          <w:p w14:paraId="65048F2D" w14:textId="3F8B42EF" w:rsidR="003F3B58" w:rsidRPr="00BC2D08" w:rsidRDefault="003F3B58" w:rsidP="003F3B58">
            <w:pPr>
              <w:jc w:val="center"/>
              <w:rPr>
                <w:rFonts w:ascii="Verdana" w:hAnsi="Verdana"/>
                <w:sz w:val="15"/>
                <w:szCs w:val="15"/>
              </w:rPr>
            </w:pPr>
          </w:p>
        </w:tc>
      </w:tr>
      <w:tr w:rsidR="003F3B58" w:rsidRPr="00733988" w14:paraId="23938E91" w14:textId="77777777" w:rsidTr="00426501">
        <w:trPr>
          <w:trHeight w:val="841"/>
        </w:trPr>
        <w:tc>
          <w:tcPr>
            <w:tcW w:w="5388" w:type="dxa"/>
          </w:tcPr>
          <w:p w14:paraId="033E17A9" w14:textId="29ABD15A" w:rsidR="003F3B58" w:rsidRDefault="003F3B58" w:rsidP="003F3B58">
            <w:pPr>
              <w:pStyle w:val="Recitals"/>
              <w:numPr>
                <w:ilvl w:val="0"/>
                <w:numId w:val="0"/>
              </w:numPr>
              <w:spacing w:after="0" w:line="240" w:lineRule="auto"/>
              <w:ind w:left="459" w:hanging="459"/>
              <w:jc w:val="left"/>
              <w:rPr>
                <w:rFonts w:ascii="Verdana" w:hAnsi="Verdana"/>
                <w:sz w:val="18"/>
                <w:szCs w:val="18"/>
              </w:rPr>
            </w:pPr>
            <w:r>
              <w:rPr>
                <w:rFonts w:ascii="Verdana" w:hAnsi="Verdana"/>
                <w:sz w:val="18"/>
                <w:szCs w:val="18"/>
              </w:rPr>
              <w:t>2.</w:t>
            </w:r>
            <w:r w:rsidRPr="00451D60">
              <w:rPr>
                <w:rFonts w:ascii="Verdana" w:hAnsi="Verdana"/>
                <w:sz w:val="18"/>
                <w:szCs w:val="18"/>
              </w:rPr>
              <w:t>10 Change of the Company Name, trading name or Registered Office for any member of the Group.</w:t>
            </w:r>
            <w:r>
              <w:rPr>
                <w:rFonts w:ascii="Verdana" w:hAnsi="Verdana"/>
                <w:sz w:val="18"/>
                <w:szCs w:val="18"/>
              </w:rPr>
              <w:t xml:space="preserve"> </w:t>
            </w:r>
          </w:p>
        </w:tc>
        <w:tc>
          <w:tcPr>
            <w:tcW w:w="1701" w:type="dxa"/>
            <w:vAlign w:val="center"/>
          </w:tcPr>
          <w:p w14:paraId="18973D61" w14:textId="2FCB804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7D1A70F3" w14:textId="2D048DF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7A6C1BC0" w14:textId="22C8023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35782F6C" w14:textId="53DA1AC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DD6287E" w14:textId="68828FC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FB42EAA" w14:textId="717698F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7E6F0B51" w14:textId="251C003D"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vAlign w:val="center"/>
          </w:tcPr>
          <w:p w14:paraId="05122149" w14:textId="1C7E05A8" w:rsidR="003F3B58" w:rsidRPr="00BC2D08" w:rsidRDefault="003F3B58" w:rsidP="003F3B58">
            <w:pPr>
              <w:jc w:val="center"/>
              <w:rPr>
                <w:rFonts w:ascii="Verdana" w:hAnsi="Verdana"/>
                <w:sz w:val="15"/>
                <w:szCs w:val="15"/>
              </w:rPr>
            </w:pPr>
          </w:p>
        </w:tc>
      </w:tr>
      <w:tr w:rsidR="00E1254C" w:rsidRPr="00733988" w14:paraId="0314F490" w14:textId="77777777" w:rsidTr="00D87A87">
        <w:trPr>
          <w:trHeight w:val="361"/>
        </w:trPr>
        <w:tc>
          <w:tcPr>
            <w:tcW w:w="23106" w:type="dxa"/>
            <w:gridSpan w:val="9"/>
            <w:shd w:val="clear" w:color="auto" w:fill="D0CECE" w:themeFill="background2" w:themeFillShade="E6"/>
          </w:tcPr>
          <w:p w14:paraId="74873BFB" w14:textId="281F49BE" w:rsidR="00E1254C" w:rsidRPr="00E1254C" w:rsidRDefault="00E1254C" w:rsidP="00E1254C">
            <w:pPr>
              <w:pStyle w:val="ListParagraph"/>
              <w:numPr>
                <w:ilvl w:val="0"/>
                <w:numId w:val="37"/>
              </w:numPr>
              <w:rPr>
                <w:rFonts w:ascii="Verdana" w:hAnsi="Verdana"/>
                <w:sz w:val="18"/>
                <w:szCs w:val="18"/>
              </w:rPr>
            </w:pPr>
            <w:r w:rsidRPr="00E1254C">
              <w:rPr>
                <w:rFonts w:ascii="Verdana" w:hAnsi="Verdana"/>
                <w:b/>
                <w:bCs/>
                <w:sz w:val="18"/>
                <w:szCs w:val="18"/>
              </w:rPr>
              <w:t>Financial Reporting &amp; Controls</w:t>
            </w:r>
          </w:p>
        </w:tc>
      </w:tr>
      <w:tr w:rsidR="003F3B58" w:rsidRPr="00733988" w14:paraId="562DE731" w14:textId="77777777" w:rsidTr="00426501">
        <w:trPr>
          <w:trHeight w:val="841"/>
        </w:trPr>
        <w:tc>
          <w:tcPr>
            <w:tcW w:w="5388" w:type="dxa"/>
          </w:tcPr>
          <w:p w14:paraId="7BD6766C" w14:textId="41151DD1" w:rsidR="003F3B58" w:rsidRPr="00A82B80" w:rsidRDefault="003F3B58" w:rsidP="003F3B58">
            <w:pPr>
              <w:pStyle w:val="ListParagraph"/>
              <w:ind w:left="459" w:hanging="459"/>
              <w:rPr>
                <w:rFonts w:ascii="Verdana" w:hAnsi="Verdana"/>
                <w:sz w:val="18"/>
                <w:szCs w:val="18"/>
              </w:rPr>
            </w:pPr>
            <w:r>
              <w:rPr>
                <w:rFonts w:ascii="Verdana" w:hAnsi="Verdana"/>
                <w:sz w:val="18"/>
                <w:szCs w:val="18"/>
              </w:rPr>
              <w:t>3.1  Declaration or</w:t>
            </w:r>
            <w:r w:rsidRPr="00293544">
              <w:rPr>
                <w:rFonts w:ascii="Verdana" w:hAnsi="Verdana"/>
                <w:sz w:val="18"/>
                <w:szCs w:val="18"/>
              </w:rPr>
              <w:t xml:space="preserve"> </w:t>
            </w:r>
            <w:r>
              <w:rPr>
                <w:rFonts w:ascii="Verdana" w:hAnsi="Verdana"/>
                <w:sz w:val="18"/>
                <w:szCs w:val="18"/>
              </w:rPr>
              <w:t>p</w:t>
            </w:r>
            <w:r w:rsidRPr="00293544">
              <w:rPr>
                <w:rFonts w:ascii="Verdana" w:hAnsi="Verdana"/>
                <w:sz w:val="18"/>
                <w:szCs w:val="18"/>
              </w:rPr>
              <w:t>ayment of a</w:t>
            </w:r>
            <w:r>
              <w:rPr>
                <w:rFonts w:ascii="Verdana" w:hAnsi="Verdana"/>
                <w:sz w:val="18"/>
                <w:szCs w:val="18"/>
              </w:rPr>
              <w:t>ny</w:t>
            </w:r>
            <w:r w:rsidRPr="00293544">
              <w:rPr>
                <w:rFonts w:ascii="Verdana" w:hAnsi="Verdana"/>
                <w:sz w:val="18"/>
                <w:szCs w:val="18"/>
              </w:rPr>
              <w:t xml:space="preserve"> dividend or other distribution outside of the Group Strategic Plan </w:t>
            </w:r>
            <w:r>
              <w:rPr>
                <w:rFonts w:ascii="Verdana" w:hAnsi="Verdana"/>
                <w:sz w:val="18"/>
                <w:szCs w:val="18"/>
              </w:rPr>
              <w:t xml:space="preserve">by any member of the Group (Article 8.1 </w:t>
            </w:r>
            <w:r w:rsidRPr="00293544">
              <w:rPr>
                <w:rFonts w:ascii="Verdana" w:hAnsi="Verdana"/>
                <w:sz w:val="18"/>
                <w:szCs w:val="18"/>
              </w:rPr>
              <w:t>(F))</w:t>
            </w:r>
          </w:p>
        </w:tc>
        <w:tc>
          <w:tcPr>
            <w:tcW w:w="1701" w:type="dxa"/>
            <w:vAlign w:val="center"/>
          </w:tcPr>
          <w:p w14:paraId="334C7AEB" w14:textId="3E6A182B" w:rsidR="003F3B58" w:rsidRPr="00BC2D08" w:rsidRDefault="003F3B58" w:rsidP="003F3B58">
            <w:pPr>
              <w:jc w:val="center"/>
              <w:rPr>
                <w:rFonts w:ascii="Verdana" w:hAnsi="Verdana"/>
                <w:color w:val="00B050"/>
                <w:sz w:val="15"/>
                <w:szCs w:val="15"/>
              </w:rPr>
            </w:pPr>
            <w:r w:rsidRPr="00BC2D08">
              <w:rPr>
                <w:rFonts w:ascii="Verdana" w:hAnsi="Verdana"/>
                <w:sz w:val="15"/>
                <w:szCs w:val="15"/>
              </w:rPr>
              <w:t>Approve for recommendation to POL Board</w:t>
            </w:r>
          </w:p>
        </w:tc>
        <w:tc>
          <w:tcPr>
            <w:tcW w:w="1559" w:type="dxa"/>
            <w:vAlign w:val="center"/>
          </w:tcPr>
          <w:p w14:paraId="18146A55" w14:textId="2C4B38A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23FF400" w14:textId="5CC9B56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5F43A0CD" w14:textId="7E2217AC"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1851" w:type="dxa"/>
            <w:vAlign w:val="center"/>
          </w:tcPr>
          <w:p w14:paraId="07878F7D" w14:textId="73D3537B"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1851" w:type="dxa"/>
            <w:vAlign w:val="center"/>
          </w:tcPr>
          <w:p w14:paraId="42E91EEB" w14:textId="4EAABFA9" w:rsidR="003F3B58" w:rsidRPr="00BC2D08" w:rsidRDefault="003F3B58" w:rsidP="003F3B58">
            <w:pPr>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0453F3D8" w14:textId="3113B332" w:rsidR="003F3B58" w:rsidRPr="00BC2D08" w:rsidRDefault="003F3B58" w:rsidP="003F3B58">
            <w:pPr>
              <w:jc w:val="center"/>
              <w:rPr>
                <w:rFonts w:ascii="Verdana" w:hAnsi="Verdana"/>
                <w:color w:val="00B050"/>
                <w:sz w:val="15"/>
                <w:szCs w:val="15"/>
              </w:rPr>
            </w:pPr>
            <w:r w:rsidRPr="00BC2D08">
              <w:rPr>
                <w:rFonts w:ascii="Verdana" w:hAnsi="Verdana"/>
                <w:sz w:val="15"/>
                <w:szCs w:val="15"/>
              </w:rPr>
              <w:t>Consent</w:t>
            </w:r>
          </w:p>
        </w:tc>
        <w:tc>
          <w:tcPr>
            <w:tcW w:w="5704" w:type="dxa"/>
          </w:tcPr>
          <w:p w14:paraId="23BE4A1C" w14:textId="41F62E4C" w:rsidR="003F3B58" w:rsidRPr="00BC2D08" w:rsidRDefault="003F3B58" w:rsidP="003F3B58">
            <w:pPr>
              <w:rPr>
                <w:rFonts w:ascii="Verdana" w:hAnsi="Verdana"/>
                <w:sz w:val="15"/>
                <w:szCs w:val="15"/>
              </w:rPr>
            </w:pPr>
            <w:r w:rsidRPr="00BC2D08">
              <w:rPr>
                <w:rFonts w:ascii="Verdana" w:hAnsi="Verdana"/>
                <w:sz w:val="15"/>
                <w:szCs w:val="15"/>
              </w:rPr>
              <w:t>Within the Group Strategic Plan, POL Board must approve the declaration of a dividend and payment of an interim dividend (Articles 68 – 69)</w:t>
            </w:r>
            <w:r w:rsidR="00DD1FFA">
              <w:rPr>
                <w:rFonts w:ascii="Verdana" w:hAnsi="Verdana"/>
                <w:sz w:val="15"/>
                <w:szCs w:val="15"/>
              </w:rPr>
              <w:t>.</w:t>
            </w:r>
          </w:p>
        </w:tc>
      </w:tr>
      <w:tr w:rsidR="003F3B58" w:rsidRPr="00733988" w14:paraId="2B955C28" w14:textId="77777777" w:rsidTr="00426501">
        <w:trPr>
          <w:trHeight w:val="841"/>
        </w:trPr>
        <w:tc>
          <w:tcPr>
            <w:tcW w:w="5388" w:type="dxa"/>
          </w:tcPr>
          <w:p w14:paraId="04AA43C1" w14:textId="1AD84B1C" w:rsidR="003F3B58" w:rsidRPr="00293544" w:rsidRDefault="003F3B58" w:rsidP="003F3B58">
            <w:pPr>
              <w:pStyle w:val="ListParagraph"/>
              <w:ind w:left="459" w:hanging="459"/>
              <w:rPr>
                <w:rFonts w:ascii="Verdana" w:hAnsi="Verdana"/>
                <w:color w:val="FF0000"/>
                <w:sz w:val="18"/>
                <w:szCs w:val="18"/>
              </w:rPr>
            </w:pPr>
            <w:r w:rsidRPr="00293544">
              <w:rPr>
                <w:rFonts w:ascii="Verdana" w:hAnsi="Verdana"/>
                <w:sz w:val="18"/>
                <w:szCs w:val="18"/>
              </w:rPr>
              <w:t xml:space="preserve">3.2 </w:t>
            </w:r>
            <w:r>
              <w:rPr>
                <w:rFonts w:ascii="Verdana" w:hAnsi="Verdana"/>
                <w:sz w:val="18"/>
                <w:szCs w:val="18"/>
              </w:rPr>
              <w:t xml:space="preserve"> </w:t>
            </w:r>
            <w:r w:rsidRPr="00293544">
              <w:rPr>
                <w:rFonts w:ascii="Verdana" w:hAnsi="Verdana"/>
                <w:sz w:val="18"/>
                <w:szCs w:val="18"/>
              </w:rPr>
              <w:t>Any distribution, payment or return to shareholders of the Company out of capit</w:t>
            </w:r>
            <w:r>
              <w:rPr>
                <w:rFonts w:ascii="Verdana" w:hAnsi="Verdana"/>
                <w:sz w:val="18"/>
                <w:szCs w:val="18"/>
              </w:rPr>
              <w:t xml:space="preserve">al of the company (Article 8.1 </w:t>
            </w:r>
            <w:r w:rsidRPr="00293544">
              <w:rPr>
                <w:rFonts w:ascii="Verdana" w:hAnsi="Verdana"/>
                <w:sz w:val="18"/>
                <w:szCs w:val="18"/>
              </w:rPr>
              <w:t>(G))</w:t>
            </w:r>
            <w:r>
              <w:rPr>
                <w:rFonts w:ascii="Verdana" w:hAnsi="Verdana"/>
                <w:sz w:val="18"/>
                <w:szCs w:val="18"/>
              </w:rPr>
              <w:t xml:space="preserve"> </w:t>
            </w:r>
          </w:p>
        </w:tc>
        <w:tc>
          <w:tcPr>
            <w:tcW w:w="1701" w:type="dxa"/>
            <w:vAlign w:val="center"/>
          </w:tcPr>
          <w:p w14:paraId="6E698CDA" w14:textId="001E5CE4"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for recommendation to POL Board</w:t>
            </w:r>
          </w:p>
        </w:tc>
        <w:tc>
          <w:tcPr>
            <w:tcW w:w="1559" w:type="dxa"/>
            <w:vAlign w:val="center"/>
          </w:tcPr>
          <w:p w14:paraId="624D8380" w14:textId="3A7F0DC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2BAAC87" w14:textId="37404AA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0AE597D5" w14:textId="613B50F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443A9DD" w14:textId="0D3695B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750AFF0" w14:textId="74FACAD1"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subject to Shareholder consent</w:t>
            </w:r>
          </w:p>
        </w:tc>
        <w:tc>
          <w:tcPr>
            <w:tcW w:w="1852" w:type="dxa"/>
            <w:vAlign w:val="center"/>
          </w:tcPr>
          <w:p w14:paraId="6D7A73FC" w14:textId="6B48F38D"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0DC076AC" w14:textId="6512BC8D" w:rsidR="003F3B58" w:rsidRPr="00BC2D08" w:rsidRDefault="003F3B58" w:rsidP="003F3B58">
            <w:pPr>
              <w:rPr>
                <w:rFonts w:ascii="Verdana" w:hAnsi="Verdana"/>
                <w:sz w:val="15"/>
                <w:szCs w:val="15"/>
              </w:rPr>
            </w:pPr>
          </w:p>
        </w:tc>
      </w:tr>
      <w:tr w:rsidR="003F3B58" w:rsidRPr="00733988" w14:paraId="29441D7D" w14:textId="77777777" w:rsidTr="00426501">
        <w:trPr>
          <w:trHeight w:val="841"/>
        </w:trPr>
        <w:tc>
          <w:tcPr>
            <w:tcW w:w="5388" w:type="dxa"/>
          </w:tcPr>
          <w:p w14:paraId="5A747568" w14:textId="6225B729" w:rsidR="003F3B58" w:rsidRDefault="003F3B58" w:rsidP="003F3B58">
            <w:pPr>
              <w:pStyle w:val="ListParagraph"/>
              <w:ind w:left="459" w:hanging="459"/>
              <w:rPr>
                <w:rFonts w:ascii="Verdana" w:hAnsi="Verdana"/>
                <w:sz w:val="18"/>
                <w:szCs w:val="18"/>
              </w:rPr>
            </w:pPr>
            <w:r>
              <w:rPr>
                <w:rFonts w:ascii="Verdana" w:hAnsi="Verdana"/>
                <w:sz w:val="18"/>
                <w:szCs w:val="18"/>
              </w:rPr>
              <w:t xml:space="preserve">3.3  </w:t>
            </w:r>
            <w:r w:rsidRPr="00293544">
              <w:rPr>
                <w:rFonts w:ascii="Verdana" w:hAnsi="Verdana"/>
                <w:sz w:val="18"/>
                <w:szCs w:val="18"/>
              </w:rPr>
              <w:t>Any distribution, payment or return to shareholders of the Company out of capit</w:t>
            </w:r>
            <w:r>
              <w:rPr>
                <w:rFonts w:ascii="Verdana" w:hAnsi="Verdana"/>
                <w:sz w:val="18"/>
                <w:szCs w:val="18"/>
              </w:rPr>
              <w:t>al of the company by a Subsidiary</w:t>
            </w:r>
          </w:p>
        </w:tc>
        <w:tc>
          <w:tcPr>
            <w:tcW w:w="1701" w:type="dxa"/>
            <w:vAlign w:val="center"/>
          </w:tcPr>
          <w:p w14:paraId="087838AA" w14:textId="1E1A8BD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07228E27" w14:textId="3BC02A3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3B43114" w14:textId="5621330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52F16895" w14:textId="4653E57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039037E" w14:textId="021B377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ADDFDE7" w14:textId="7C22703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Consent</w:t>
            </w:r>
          </w:p>
        </w:tc>
        <w:tc>
          <w:tcPr>
            <w:tcW w:w="1852" w:type="dxa"/>
            <w:vAlign w:val="center"/>
          </w:tcPr>
          <w:p w14:paraId="51625598" w14:textId="088CED54"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447A776B" w14:textId="18E493B6" w:rsidR="003F3B58" w:rsidRPr="00BC2D08" w:rsidRDefault="003F3B58" w:rsidP="003F3B58">
            <w:pPr>
              <w:rPr>
                <w:rFonts w:ascii="Verdana" w:hAnsi="Verdana"/>
                <w:sz w:val="15"/>
                <w:szCs w:val="15"/>
              </w:rPr>
            </w:pPr>
            <w:r w:rsidRPr="00BC2D08">
              <w:rPr>
                <w:rFonts w:ascii="Verdana" w:hAnsi="Verdana"/>
                <w:sz w:val="15"/>
                <w:szCs w:val="15"/>
              </w:rPr>
              <w:t xml:space="preserve">Subsidiary Company will approve subject to consent of the POL Board. </w:t>
            </w:r>
          </w:p>
        </w:tc>
      </w:tr>
      <w:tr w:rsidR="003F3B58" w:rsidRPr="00733988" w14:paraId="41FB5AF8" w14:textId="77777777" w:rsidTr="00426501">
        <w:trPr>
          <w:trHeight w:val="841"/>
        </w:trPr>
        <w:tc>
          <w:tcPr>
            <w:tcW w:w="5388" w:type="dxa"/>
          </w:tcPr>
          <w:p w14:paraId="10BDF30F" w14:textId="35D09BF3" w:rsidR="003F3B58" w:rsidRPr="00A67A59" w:rsidRDefault="003F3B58" w:rsidP="003F3B58">
            <w:pPr>
              <w:pStyle w:val="Recitals"/>
              <w:numPr>
                <w:ilvl w:val="0"/>
                <w:numId w:val="0"/>
              </w:numPr>
              <w:spacing w:after="0" w:line="240" w:lineRule="auto"/>
              <w:ind w:left="459" w:hanging="459"/>
              <w:jc w:val="left"/>
              <w:rPr>
                <w:rFonts w:ascii="Verdana" w:hAnsi="Verdana"/>
                <w:sz w:val="18"/>
                <w:szCs w:val="18"/>
              </w:rPr>
            </w:pPr>
            <w:r w:rsidRPr="00293544">
              <w:rPr>
                <w:rFonts w:ascii="Verdana" w:hAnsi="Verdana"/>
                <w:sz w:val="18"/>
                <w:szCs w:val="18"/>
              </w:rPr>
              <w:t>3.</w:t>
            </w:r>
            <w:r w:rsidR="00BA558E">
              <w:rPr>
                <w:rFonts w:ascii="Verdana" w:hAnsi="Verdana"/>
                <w:sz w:val="18"/>
                <w:szCs w:val="18"/>
              </w:rPr>
              <w:t>4</w:t>
            </w:r>
            <w:r w:rsidRPr="00293544">
              <w:rPr>
                <w:rFonts w:ascii="Verdana" w:hAnsi="Verdana"/>
                <w:sz w:val="18"/>
                <w:szCs w:val="18"/>
              </w:rPr>
              <w:t xml:space="preserve"> </w:t>
            </w:r>
            <w:r>
              <w:rPr>
                <w:rFonts w:ascii="Verdana" w:hAnsi="Verdana"/>
                <w:sz w:val="18"/>
                <w:szCs w:val="18"/>
              </w:rPr>
              <w:t xml:space="preserve"> </w:t>
            </w:r>
            <w:r w:rsidRPr="00293544">
              <w:rPr>
                <w:rFonts w:ascii="Verdana" w:hAnsi="Verdana"/>
                <w:sz w:val="18"/>
                <w:szCs w:val="18"/>
              </w:rPr>
              <w:t>Change to accounting reference date, practice or policy</w:t>
            </w:r>
            <w:r>
              <w:rPr>
                <w:rFonts w:ascii="Verdana" w:hAnsi="Verdana"/>
                <w:sz w:val="18"/>
                <w:szCs w:val="18"/>
              </w:rPr>
              <w:t xml:space="preserve"> by any member of the Group,</w:t>
            </w:r>
            <w:r w:rsidRPr="00293544">
              <w:rPr>
                <w:rFonts w:ascii="Verdana" w:hAnsi="Verdana"/>
                <w:sz w:val="18"/>
                <w:szCs w:val="18"/>
              </w:rPr>
              <w:t xml:space="preserve"> if different from </w:t>
            </w:r>
            <w:r>
              <w:rPr>
                <w:rFonts w:ascii="Verdana" w:hAnsi="Verdana"/>
                <w:sz w:val="18"/>
                <w:szCs w:val="18"/>
              </w:rPr>
              <w:t xml:space="preserve">those previously adopted by </w:t>
            </w:r>
            <w:r w:rsidRPr="00293544">
              <w:rPr>
                <w:rFonts w:ascii="Verdana" w:hAnsi="Verdana"/>
                <w:sz w:val="18"/>
                <w:szCs w:val="18"/>
              </w:rPr>
              <w:t>the Group</w:t>
            </w:r>
            <w:r>
              <w:rPr>
                <w:rFonts w:ascii="Verdana" w:hAnsi="Verdana"/>
                <w:sz w:val="18"/>
                <w:szCs w:val="18"/>
              </w:rPr>
              <w:t>,</w:t>
            </w:r>
            <w:r w:rsidRPr="00293544">
              <w:rPr>
                <w:rFonts w:ascii="Verdana" w:hAnsi="Verdana"/>
                <w:sz w:val="18"/>
                <w:szCs w:val="18"/>
              </w:rPr>
              <w:t xml:space="preserve"> unless required by law or generally accepted accounting principles </w:t>
            </w:r>
            <w:r>
              <w:rPr>
                <w:rFonts w:ascii="Verdana" w:hAnsi="Verdana"/>
                <w:sz w:val="18"/>
                <w:szCs w:val="18"/>
              </w:rPr>
              <w:t xml:space="preserve">(Article 8.1 </w:t>
            </w:r>
            <w:r w:rsidRPr="00293544">
              <w:rPr>
                <w:rFonts w:ascii="Verdana" w:hAnsi="Verdana"/>
                <w:sz w:val="18"/>
                <w:szCs w:val="18"/>
              </w:rPr>
              <w:t>(R)</w:t>
            </w:r>
            <w:r>
              <w:rPr>
                <w:rFonts w:ascii="Verdana" w:hAnsi="Verdana"/>
                <w:sz w:val="18"/>
                <w:szCs w:val="18"/>
              </w:rPr>
              <w:t>)</w:t>
            </w:r>
          </w:p>
        </w:tc>
        <w:tc>
          <w:tcPr>
            <w:tcW w:w="1701" w:type="dxa"/>
            <w:vAlign w:val="center"/>
          </w:tcPr>
          <w:p w14:paraId="368D3168" w14:textId="44DB375B"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559" w:type="dxa"/>
            <w:vAlign w:val="center"/>
          </w:tcPr>
          <w:p w14:paraId="61AD3859" w14:textId="35B1DF7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4D5798CE" w14:textId="2B6A785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20EB9D6A" w14:textId="47F4BC1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3648406" w14:textId="692BDF31" w:rsidR="003F3B58" w:rsidRPr="00BC2D08" w:rsidRDefault="003F3B58" w:rsidP="003F3B58">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44FAC726" w14:textId="22B5CC1F"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subject to Shareholder consent</w:t>
            </w:r>
          </w:p>
        </w:tc>
        <w:tc>
          <w:tcPr>
            <w:tcW w:w="1852" w:type="dxa"/>
            <w:vAlign w:val="center"/>
          </w:tcPr>
          <w:p w14:paraId="63B6D179" w14:textId="4FBB9EC3"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778EF289" w14:textId="74384784" w:rsidR="003F3B58" w:rsidRPr="00BC2D08" w:rsidRDefault="003F3B58" w:rsidP="003F3B58">
            <w:pPr>
              <w:rPr>
                <w:rFonts w:ascii="Verdana" w:hAnsi="Verdana"/>
                <w:sz w:val="15"/>
                <w:szCs w:val="15"/>
              </w:rPr>
            </w:pPr>
            <w:r w:rsidRPr="00BC2D08">
              <w:rPr>
                <w:rFonts w:ascii="Verdana" w:hAnsi="Verdana"/>
                <w:sz w:val="15"/>
                <w:szCs w:val="15"/>
              </w:rPr>
              <w:t xml:space="preserve">Where changes are required by law or generally accepted accounting principles, the POL ARC approve these changes. </w:t>
            </w:r>
          </w:p>
        </w:tc>
      </w:tr>
      <w:tr w:rsidR="003F3B58" w:rsidRPr="00733988" w14:paraId="0424D0CA" w14:textId="77777777" w:rsidTr="00283A96">
        <w:trPr>
          <w:trHeight w:val="841"/>
        </w:trPr>
        <w:tc>
          <w:tcPr>
            <w:tcW w:w="5388" w:type="dxa"/>
          </w:tcPr>
          <w:p w14:paraId="0687401B" w14:textId="30A46179" w:rsidR="003F3B58" w:rsidRPr="00053470" w:rsidRDefault="003F3B58" w:rsidP="003F3B58">
            <w:pPr>
              <w:pStyle w:val="Default"/>
              <w:ind w:left="459" w:hanging="459"/>
              <w:rPr>
                <w:rFonts w:cs="ChevinLight"/>
              </w:rPr>
            </w:pPr>
            <w:r w:rsidRPr="00293544">
              <w:rPr>
                <w:sz w:val="18"/>
                <w:szCs w:val="18"/>
              </w:rPr>
              <w:t>3.</w:t>
            </w:r>
            <w:r w:rsidR="00BA558E">
              <w:rPr>
                <w:sz w:val="18"/>
                <w:szCs w:val="18"/>
              </w:rPr>
              <w:t>5</w:t>
            </w:r>
            <w:r w:rsidRPr="00293544">
              <w:rPr>
                <w:sz w:val="18"/>
                <w:szCs w:val="18"/>
              </w:rPr>
              <w:t xml:space="preserve"> </w:t>
            </w:r>
            <w:r>
              <w:rPr>
                <w:sz w:val="18"/>
                <w:szCs w:val="18"/>
              </w:rPr>
              <w:t xml:space="preserve"> </w:t>
            </w:r>
            <w:r>
              <w:rPr>
                <w:rFonts w:cs="ChevinLight"/>
                <w:sz w:val="18"/>
                <w:szCs w:val="18"/>
              </w:rPr>
              <w:t>Approval of the Annual Report and A</w:t>
            </w:r>
            <w:r w:rsidRPr="00293544">
              <w:rPr>
                <w:rFonts w:cs="ChevinLight"/>
                <w:sz w:val="18"/>
                <w:szCs w:val="18"/>
              </w:rPr>
              <w:t xml:space="preserve">ccounts, including any corporate governance statement and any specific reports required by law  </w:t>
            </w:r>
          </w:p>
        </w:tc>
        <w:tc>
          <w:tcPr>
            <w:tcW w:w="1701" w:type="dxa"/>
            <w:vAlign w:val="center"/>
          </w:tcPr>
          <w:p w14:paraId="0FD7247D" w14:textId="6CC9C82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4B9F9A6A" w14:textId="0549C1F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44F3A787" w14:textId="1411ABA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249F386F" w14:textId="2708F6F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69B4745" w14:textId="3AC3BCE5"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F3F81B3" w14:textId="06EE14A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425FA8E3" w14:textId="74DBBF86"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6ADEE5DA" w14:textId="6BBCE109" w:rsidR="003F3B58" w:rsidRPr="00BC2D08" w:rsidRDefault="003F3B58" w:rsidP="003F3B58">
            <w:pPr>
              <w:rPr>
                <w:rFonts w:ascii="Verdana" w:hAnsi="Verdana"/>
                <w:sz w:val="15"/>
                <w:szCs w:val="15"/>
              </w:rPr>
            </w:pPr>
            <w:r w:rsidRPr="00BC2D08">
              <w:rPr>
                <w:rFonts w:ascii="Verdana" w:hAnsi="Verdana"/>
                <w:sz w:val="15"/>
                <w:szCs w:val="15"/>
              </w:rPr>
              <w:t xml:space="preserve">The POL Board may delegate authority on an ad hoc basis to individuals to finalise or a committee to approve. </w:t>
            </w:r>
          </w:p>
        </w:tc>
      </w:tr>
      <w:tr w:rsidR="003F3B58" w:rsidRPr="00733988" w14:paraId="73F12923" w14:textId="77777777" w:rsidTr="00283A96">
        <w:trPr>
          <w:trHeight w:val="841"/>
        </w:trPr>
        <w:tc>
          <w:tcPr>
            <w:tcW w:w="5388" w:type="dxa"/>
          </w:tcPr>
          <w:p w14:paraId="54648DAC" w14:textId="4744822B" w:rsidR="003F3B58" w:rsidRPr="00053470" w:rsidRDefault="003F3B58" w:rsidP="003F3B58">
            <w:pPr>
              <w:pStyle w:val="Default"/>
              <w:ind w:left="459" w:hanging="459"/>
              <w:rPr>
                <w:rFonts w:cs="ChevinLight"/>
                <w:color w:val="FF0000"/>
              </w:rPr>
            </w:pPr>
            <w:r w:rsidRPr="00293544">
              <w:rPr>
                <w:sz w:val="18"/>
                <w:szCs w:val="18"/>
              </w:rPr>
              <w:t>3</w:t>
            </w:r>
            <w:r w:rsidR="00BA558E">
              <w:rPr>
                <w:sz w:val="18"/>
                <w:szCs w:val="18"/>
              </w:rPr>
              <w:t>.6</w:t>
            </w:r>
            <w:r w:rsidRPr="00293544">
              <w:rPr>
                <w:sz w:val="18"/>
                <w:szCs w:val="18"/>
              </w:rPr>
              <w:t xml:space="preserve"> </w:t>
            </w:r>
            <w:r>
              <w:rPr>
                <w:sz w:val="18"/>
                <w:szCs w:val="18"/>
              </w:rPr>
              <w:t xml:space="preserve"> </w:t>
            </w:r>
            <w:r w:rsidRPr="00293544">
              <w:rPr>
                <w:rFonts w:cs="ChevinLight"/>
                <w:sz w:val="18"/>
                <w:szCs w:val="18"/>
              </w:rPr>
              <w:t>Approval of any half year financial report or trading statement for publication</w:t>
            </w:r>
            <w:r w:rsidRPr="00293544">
              <w:rPr>
                <w:rFonts w:cs="ChevinLight"/>
              </w:rPr>
              <w:t xml:space="preserve"> </w:t>
            </w:r>
          </w:p>
        </w:tc>
        <w:tc>
          <w:tcPr>
            <w:tcW w:w="1701" w:type="dxa"/>
            <w:vAlign w:val="center"/>
          </w:tcPr>
          <w:p w14:paraId="4C1D9CD7" w14:textId="714153B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2716B840" w14:textId="2E6C451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2DA7486B" w14:textId="74A84BF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65537D10" w14:textId="1B9D43E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20099D3" w14:textId="0232714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9D231EB" w14:textId="05379FF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1FD1CF3A" w14:textId="2D4F5C89"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4F07A927" w14:textId="2281843F" w:rsidR="003F3B58" w:rsidRPr="00BC2D08" w:rsidRDefault="003F3B58" w:rsidP="003F3B58">
            <w:pPr>
              <w:rPr>
                <w:rFonts w:ascii="Verdana" w:hAnsi="Verdana"/>
                <w:sz w:val="15"/>
                <w:szCs w:val="15"/>
              </w:rPr>
            </w:pPr>
            <w:r w:rsidRPr="00BC2D08">
              <w:rPr>
                <w:rFonts w:ascii="Verdana" w:hAnsi="Verdana"/>
                <w:sz w:val="15"/>
                <w:szCs w:val="15"/>
              </w:rPr>
              <w:t>The POL Board may delegate authority on an ad hoc basis to individuals or a committee to approve.</w:t>
            </w:r>
          </w:p>
        </w:tc>
      </w:tr>
      <w:tr w:rsidR="003F3B58" w:rsidRPr="00733988" w14:paraId="5EFBBC1E" w14:textId="77777777" w:rsidTr="00F53670">
        <w:trPr>
          <w:trHeight w:val="841"/>
        </w:trPr>
        <w:tc>
          <w:tcPr>
            <w:tcW w:w="5388" w:type="dxa"/>
          </w:tcPr>
          <w:p w14:paraId="11C44945" w14:textId="526926AD" w:rsidR="003F3B58" w:rsidRPr="00053470" w:rsidRDefault="003F3B58" w:rsidP="003F3B58">
            <w:pPr>
              <w:pStyle w:val="Default"/>
              <w:ind w:left="459" w:hanging="459"/>
              <w:rPr>
                <w:rFonts w:cs="ChevinLight"/>
                <w:sz w:val="18"/>
                <w:szCs w:val="18"/>
              </w:rPr>
            </w:pPr>
            <w:r>
              <w:rPr>
                <w:sz w:val="18"/>
                <w:szCs w:val="18"/>
              </w:rPr>
              <w:lastRenderedPageBreak/>
              <w:t>3.</w:t>
            </w:r>
            <w:r w:rsidR="00BA558E">
              <w:rPr>
                <w:sz w:val="18"/>
                <w:szCs w:val="18"/>
              </w:rPr>
              <w:t>7</w:t>
            </w:r>
            <w:r w:rsidRPr="00293544">
              <w:rPr>
                <w:sz w:val="18"/>
                <w:szCs w:val="18"/>
              </w:rPr>
              <w:t xml:space="preserve"> </w:t>
            </w:r>
            <w:r>
              <w:rPr>
                <w:sz w:val="18"/>
                <w:szCs w:val="18"/>
              </w:rPr>
              <w:t xml:space="preserve"> </w:t>
            </w:r>
            <w:r w:rsidRPr="004C5FF3">
              <w:rPr>
                <w:rFonts w:cs="ChevinLight"/>
                <w:sz w:val="18"/>
                <w:szCs w:val="18"/>
              </w:rPr>
              <w:t>Approval of</w:t>
            </w:r>
            <w:r>
              <w:rPr>
                <w:rFonts w:cs="ChevinLight"/>
                <w:sz w:val="18"/>
                <w:szCs w:val="18"/>
              </w:rPr>
              <w:t xml:space="preserve"> Group </w:t>
            </w:r>
            <w:r w:rsidRPr="004C5FF3">
              <w:rPr>
                <w:rFonts w:cs="ChevinLight"/>
                <w:sz w:val="18"/>
                <w:szCs w:val="18"/>
              </w:rPr>
              <w:t xml:space="preserve">treasury, including methods of mitigating against foreign currency exposure and any use of financial derivatives </w:t>
            </w:r>
          </w:p>
        </w:tc>
        <w:tc>
          <w:tcPr>
            <w:tcW w:w="1701" w:type="dxa"/>
            <w:vAlign w:val="center"/>
          </w:tcPr>
          <w:p w14:paraId="24935930" w14:textId="48CAADA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43D14F45" w14:textId="732FF64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477" w:type="dxa"/>
            <w:vAlign w:val="center"/>
          </w:tcPr>
          <w:p w14:paraId="4FDAD2D2" w14:textId="1D5F576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2D468223" w14:textId="6099129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A266CAE" w14:textId="36A951F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E5576F5" w14:textId="25243C3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2" w:type="dxa"/>
            <w:vAlign w:val="center"/>
          </w:tcPr>
          <w:p w14:paraId="2FC180E7" w14:textId="2A87B44C"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2D7AE6F9" w14:textId="3BC8307B" w:rsidR="003F3B58" w:rsidRPr="00BC2D08" w:rsidRDefault="003F3B58" w:rsidP="003F3B58">
            <w:pPr>
              <w:rPr>
                <w:rFonts w:ascii="Verdana" w:hAnsi="Verdana"/>
                <w:sz w:val="15"/>
                <w:szCs w:val="15"/>
                <w:highlight w:val="yellow"/>
              </w:rPr>
            </w:pPr>
          </w:p>
        </w:tc>
      </w:tr>
      <w:tr w:rsidR="003F3B58" w:rsidRPr="00733988" w14:paraId="73CD7679" w14:textId="77777777" w:rsidTr="00F53670">
        <w:trPr>
          <w:trHeight w:val="841"/>
        </w:trPr>
        <w:tc>
          <w:tcPr>
            <w:tcW w:w="5388" w:type="dxa"/>
          </w:tcPr>
          <w:p w14:paraId="42E4FDE7" w14:textId="67FC0417" w:rsidR="003F3B58" w:rsidRPr="00053470" w:rsidRDefault="003F3B58" w:rsidP="003F3B58">
            <w:pPr>
              <w:pStyle w:val="Default"/>
              <w:ind w:left="459" w:hanging="459"/>
              <w:rPr>
                <w:rFonts w:cs="ChevinLight"/>
                <w:color w:val="FF0000"/>
              </w:rPr>
            </w:pPr>
            <w:r>
              <w:rPr>
                <w:sz w:val="18"/>
                <w:szCs w:val="18"/>
              </w:rPr>
              <w:t>3.</w:t>
            </w:r>
            <w:r w:rsidR="00BA558E">
              <w:rPr>
                <w:sz w:val="18"/>
                <w:szCs w:val="18"/>
              </w:rPr>
              <w:t>8</w:t>
            </w:r>
            <w:r w:rsidRPr="00293544">
              <w:rPr>
                <w:sz w:val="18"/>
                <w:szCs w:val="18"/>
              </w:rPr>
              <w:t xml:space="preserve"> </w:t>
            </w:r>
            <w:r>
              <w:rPr>
                <w:sz w:val="18"/>
                <w:szCs w:val="18"/>
              </w:rPr>
              <w:t xml:space="preserve"> </w:t>
            </w:r>
            <w:r>
              <w:rPr>
                <w:rFonts w:cs="ChevinLight"/>
                <w:sz w:val="18"/>
                <w:szCs w:val="18"/>
              </w:rPr>
              <w:t>Approval of the appointment, reappointment or</w:t>
            </w:r>
            <w:r w:rsidRPr="004C5FF3">
              <w:rPr>
                <w:rFonts w:cs="ChevinLight"/>
                <w:sz w:val="18"/>
                <w:szCs w:val="18"/>
              </w:rPr>
              <w:t xml:space="preserve"> removal of the external auditor </w:t>
            </w:r>
          </w:p>
        </w:tc>
        <w:tc>
          <w:tcPr>
            <w:tcW w:w="1701" w:type="dxa"/>
            <w:vAlign w:val="center"/>
          </w:tcPr>
          <w:p w14:paraId="121C6E95" w14:textId="0C80520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67CAFD9A" w14:textId="26567AE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716FF4FA" w14:textId="1D70AD65"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34AFB065" w14:textId="6F8CD9B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59697282" w14:textId="18B9C6B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E0647B4" w14:textId="5C418A7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11F99731" w14:textId="4EB76C07"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1CAE981B" w14:textId="77777777" w:rsidR="003F3B58" w:rsidRPr="00BC2D08" w:rsidRDefault="003F3B58" w:rsidP="003F3B58">
            <w:pPr>
              <w:rPr>
                <w:rFonts w:ascii="Verdana" w:hAnsi="Verdana" w:cs="Arial"/>
                <w:color w:val="000000" w:themeColor="text1"/>
                <w:sz w:val="15"/>
                <w:szCs w:val="15"/>
              </w:rPr>
            </w:pPr>
            <w:r w:rsidRPr="00BC2D08">
              <w:rPr>
                <w:rFonts w:ascii="Verdana" w:hAnsi="Verdana"/>
                <w:sz w:val="15"/>
                <w:szCs w:val="15"/>
              </w:rPr>
              <w:t xml:space="preserve">The POL ARC approves the </w:t>
            </w:r>
            <w:r w:rsidRPr="00BC2D08">
              <w:rPr>
                <w:rFonts w:ascii="Verdana" w:hAnsi="Verdana" w:cs="Arial"/>
                <w:color w:val="000000" w:themeColor="text1"/>
                <w:sz w:val="15"/>
                <w:szCs w:val="15"/>
              </w:rPr>
              <w:t xml:space="preserve">selection procedure for the appointment of the audit firm in accordance with applicable regulatory requirements. </w:t>
            </w:r>
          </w:p>
          <w:p w14:paraId="2F29DB43" w14:textId="70F8EA84" w:rsidR="003F3B58" w:rsidRPr="00BC2D08" w:rsidRDefault="003F3B58" w:rsidP="003F3B58">
            <w:pPr>
              <w:tabs>
                <w:tab w:val="left" w:pos="709"/>
              </w:tabs>
              <w:autoSpaceDE w:val="0"/>
              <w:autoSpaceDN w:val="0"/>
              <w:adjustRightInd w:val="0"/>
              <w:rPr>
                <w:rFonts w:ascii="Verdana" w:hAnsi="Verdana" w:cs="Arial"/>
                <w:color w:val="000000"/>
                <w:sz w:val="15"/>
                <w:szCs w:val="15"/>
              </w:rPr>
            </w:pPr>
            <w:r w:rsidRPr="00BC2D08">
              <w:rPr>
                <w:rFonts w:ascii="Verdana" w:hAnsi="Verdana" w:cs="Arial"/>
                <w:color w:val="000000" w:themeColor="text1"/>
                <w:sz w:val="15"/>
                <w:szCs w:val="15"/>
              </w:rPr>
              <w:t xml:space="preserve">It also approves the agreed annual external audit, and approach to risk assessment and the scope and plan of their audits and </w:t>
            </w:r>
            <w:r w:rsidRPr="00BC2D08">
              <w:rPr>
                <w:rFonts w:ascii="Verdana" w:hAnsi="Verdana" w:cs="Arial"/>
                <w:color w:val="000000"/>
                <w:sz w:val="15"/>
                <w:szCs w:val="15"/>
              </w:rPr>
              <w:t xml:space="preserve">the Group’s policy on non-audit services by the auditor. </w:t>
            </w:r>
          </w:p>
        </w:tc>
      </w:tr>
      <w:tr w:rsidR="003F3B58" w:rsidRPr="00733988" w14:paraId="2BAA0393" w14:textId="77777777" w:rsidTr="00F53670">
        <w:trPr>
          <w:trHeight w:val="841"/>
        </w:trPr>
        <w:tc>
          <w:tcPr>
            <w:tcW w:w="5388" w:type="dxa"/>
          </w:tcPr>
          <w:p w14:paraId="17CA2105" w14:textId="10F78C55" w:rsidR="003F3B58" w:rsidRDefault="003F3B58" w:rsidP="003F3B58">
            <w:pPr>
              <w:pStyle w:val="Default"/>
              <w:ind w:left="459" w:hanging="459"/>
              <w:rPr>
                <w:sz w:val="18"/>
                <w:szCs w:val="18"/>
              </w:rPr>
            </w:pPr>
            <w:r>
              <w:rPr>
                <w:sz w:val="18"/>
                <w:szCs w:val="18"/>
              </w:rPr>
              <w:t>3.</w:t>
            </w:r>
            <w:r w:rsidR="00BA558E">
              <w:rPr>
                <w:sz w:val="18"/>
                <w:szCs w:val="18"/>
              </w:rPr>
              <w:t>9</w:t>
            </w:r>
            <w:r>
              <w:rPr>
                <w:sz w:val="18"/>
                <w:szCs w:val="18"/>
              </w:rPr>
              <w:t xml:space="preserve">  </w:t>
            </w:r>
            <w:r>
              <w:rPr>
                <w:sz w:val="18"/>
              </w:rPr>
              <w:t>Approval</w:t>
            </w:r>
            <w:r w:rsidRPr="00451D60">
              <w:rPr>
                <w:sz w:val="18"/>
              </w:rPr>
              <w:t xml:space="preserve"> of Company’s </w:t>
            </w:r>
            <w:r w:rsidRPr="00221A73">
              <w:rPr>
                <w:sz w:val="18"/>
                <w:szCs w:val="18"/>
              </w:rPr>
              <w:t>Risk Policy incorporating the approach to risk appetite</w:t>
            </w:r>
          </w:p>
        </w:tc>
        <w:tc>
          <w:tcPr>
            <w:tcW w:w="1701" w:type="dxa"/>
            <w:vAlign w:val="center"/>
          </w:tcPr>
          <w:p w14:paraId="528E4C83" w14:textId="53C055C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381A2AB0" w14:textId="52E93E9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5EE46765" w14:textId="17F99FA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7B95719B" w14:textId="7459109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13088B8" w14:textId="2A08785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84424DD" w14:textId="2837011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0946E76A" w14:textId="5BDF27CB"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002878AC" w14:textId="258E1763" w:rsidR="003F3B58" w:rsidRPr="00BC2D08" w:rsidRDefault="003F3B58" w:rsidP="003F3B58">
            <w:pPr>
              <w:rPr>
                <w:rFonts w:ascii="Verdana" w:hAnsi="Verdana"/>
                <w:sz w:val="15"/>
                <w:szCs w:val="15"/>
                <w:highlight w:val="yellow"/>
              </w:rPr>
            </w:pPr>
            <w:r w:rsidRPr="00BC2D08">
              <w:rPr>
                <w:rFonts w:ascii="Verdana" w:hAnsi="Verdana"/>
                <w:sz w:val="15"/>
                <w:szCs w:val="15"/>
              </w:rPr>
              <w:t xml:space="preserve">The POL ARC reviews and monitors the Group’s risk management systems, operational controls and key systems. The POL ARC has delegated authority to approve the risk appetite statements for different risk groupings developed under the Risk Policy. </w:t>
            </w:r>
          </w:p>
        </w:tc>
      </w:tr>
      <w:tr w:rsidR="003F3B58" w:rsidRPr="00733988" w14:paraId="624563A1" w14:textId="77777777" w:rsidTr="00F53670">
        <w:trPr>
          <w:trHeight w:val="841"/>
        </w:trPr>
        <w:tc>
          <w:tcPr>
            <w:tcW w:w="5388" w:type="dxa"/>
          </w:tcPr>
          <w:p w14:paraId="7B1D2E43" w14:textId="29C17C23" w:rsidR="003F3B58" w:rsidRPr="003D2FCD" w:rsidRDefault="003F3B58" w:rsidP="003F3B58">
            <w:pPr>
              <w:tabs>
                <w:tab w:val="left" w:pos="602"/>
                <w:tab w:val="left" w:pos="885"/>
              </w:tabs>
              <w:autoSpaceDE w:val="0"/>
              <w:autoSpaceDN w:val="0"/>
              <w:adjustRightInd w:val="0"/>
              <w:ind w:left="459" w:hanging="459"/>
              <w:rPr>
                <w:rFonts w:ascii="Verdana" w:hAnsi="Verdana" w:cs="Arial"/>
                <w:color w:val="000000"/>
                <w:sz w:val="18"/>
                <w:szCs w:val="18"/>
              </w:rPr>
            </w:pPr>
            <w:r w:rsidRPr="003D2FCD">
              <w:rPr>
                <w:rFonts w:ascii="Verdana" w:hAnsi="Verdana"/>
                <w:sz w:val="18"/>
                <w:szCs w:val="18"/>
              </w:rPr>
              <w:t>3.</w:t>
            </w:r>
            <w:r w:rsidR="00BA558E">
              <w:rPr>
                <w:rFonts w:ascii="Verdana" w:hAnsi="Verdana"/>
                <w:sz w:val="18"/>
                <w:szCs w:val="18"/>
              </w:rPr>
              <w:t>10</w:t>
            </w:r>
            <w:r w:rsidRPr="003D2FCD">
              <w:rPr>
                <w:rFonts w:ascii="Verdana" w:hAnsi="Verdana"/>
                <w:sz w:val="18"/>
                <w:szCs w:val="18"/>
              </w:rPr>
              <w:t xml:space="preserve"> </w:t>
            </w:r>
            <w:r>
              <w:rPr>
                <w:rFonts w:ascii="Verdana" w:hAnsi="Verdana"/>
                <w:sz w:val="18"/>
                <w:szCs w:val="18"/>
              </w:rPr>
              <w:t xml:space="preserve"> </w:t>
            </w:r>
            <w:r w:rsidRPr="003D2FCD">
              <w:rPr>
                <w:rFonts w:ascii="Verdana" w:hAnsi="Verdana" w:cs="Arial"/>
                <w:color w:val="000000"/>
                <w:sz w:val="18"/>
                <w:szCs w:val="18"/>
              </w:rPr>
              <w:t xml:space="preserve">Approval of the appointment or termination of appointment of the   Head of Internal Audit. </w:t>
            </w:r>
          </w:p>
        </w:tc>
        <w:tc>
          <w:tcPr>
            <w:tcW w:w="1701" w:type="dxa"/>
            <w:vAlign w:val="center"/>
          </w:tcPr>
          <w:p w14:paraId="25F0AA59" w14:textId="43CC4D0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1CC3CDD5" w14:textId="361BF1D8"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477" w:type="dxa"/>
            <w:vAlign w:val="center"/>
          </w:tcPr>
          <w:p w14:paraId="1EBC3262" w14:textId="6F103395"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01C27446" w14:textId="5992165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54B9BE3" w14:textId="21FCE3F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5E3641E" w14:textId="3ADC6CE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2" w:type="dxa"/>
            <w:vAlign w:val="center"/>
          </w:tcPr>
          <w:p w14:paraId="5F84B2A8" w14:textId="23DF0680"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00C6B61F" w14:textId="005A7ED8" w:rsidR="003F3B58" w:rsidRPr="00BC2D08" w:rsidRDefault="003F3B58" w:rsidP="003F3B58">
            <w:pPr>
              <w:rPr>
                <w:rFonts w:ascii="Verdana" w:hAnsi="Verdana"/>
                <w:sz w:val="15"/>
                <w:szCs w:val="15"/>
              </w:rPr>
            </w:pPr>
            <w:r w:rsidRPr="00BC2D08">
              <w:rPr>
                <w:rFonts w:ascii="Verdana" w:hAnsi="Verdana"/>
                <w:sz w:val="15"/>
                <w:szCs w:val="15"/>
              </w:rPr>
              <w:t xml:space="preserve">The POL ARC also approves the Internal Audit Charter and annual Internal Audit Plans. </w:t>
            </w:r>
          </w:p>
        </w:tc>
      </w:tr>
      <w:tr w:rsidR="003F3B58" w:rsidRPr="00733988" w14:paraId="7ACBEC77" w14:textId="77777777" w:rsidTr="00F53670">
        <w:trPr>
          <w:trHeight w:val="841"/>
        </w:trPr>
        <w:tc>
          <w:tcPr>
            <w:tcW w:w="5388" w:type="dxa"/>
          </w:tcPr>
          <w:p w14:paraId="6EAB9C20" w14:textId="41853DC1" w:rsidR="003F3B58" w:rsidRPr="003D2FCD" w:rsidRDefault="003F3B58" w:rsidP="003F3B58">
            <w:pPr>
              <w:tabs>
                <w:tab w:val="left" w:pos="602"/>
                <w:tab w:val="left" w:pos="885"/>
              </w:tabs>
              <w:autoSpaceDE w:val="0"/>
              <w:autoSpaceDN w:val="0"/>
              <w:adjustRightInd w:val="0"/>
              <w:ind w:left="459" w:hanging="459"/>
              <w:rPr>
                <w:rFonts w:ascii="Verdana" w:hAnsi="Verdana"/>
                <w:sz w:val="18"/>
                <w:szCs w:val="18"/>
              </w:rPr>
            </w:pPr>
            <w:r>
              <w:rPr>
                <w:rFonts w:ascii="Verdana" w:hAnsi="Verdana"/>
                <w:sz w:val="18"/>
                <w:szCs w:val="18"/>
              </w:rPr>
              <w:t>3.1</w:t>
            </w:r>
            <w:r w:rsidR="00BA558E">
              <w:rPr>
                <w:rFonts w:ascii="Verdana" w:hAnsi="Verdana"/>
                <w:sz w:val="18"/>
                <w:szCs w:val="18"/>
              </w:rPr>
              <w:t>1</w:t>
            </w:r>
            <w:r>
              <w:rPr>
                <w:rFonts w:ascii="Verdana" w:hAnsi="Verdana"/>
                <w:sz w:val="18"/>
                <w:szCs w:val="18"/>
              </w:rPr>
              <w:t xml:space="preserve"> Approval of the Tax Strategy</w:t>
            </w:r>
          </w:p>
        </w:tc>
        <w:tc>
          <w:tcPr>
            <w:tcW w:w="1701" w:type="dxa"/>
            <w:vAlign w:val="center"/>
          </w:tcPr>
          <w:p w14:paraId="5546D725" w14:textId="12B6A41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19B88E72" w14:textId="779E0E6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477" w:type="dxa"/>
            <w:vAlign w:val="center"/>
          </w:tcPr>
          <w:p w14:paraId="583D6362" w14:textId="4437505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5E35DAAC" w14:textId="5C88F2C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0526B3A" w14:textId="7DC15B94" w:rsidR="003F3B58" w:rsidRPr="00BC2D08" w:rsidRDefault="003F3B58" w:rsidP="003F3B58">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05AF3355" w14:textId="677AE28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2" w:type="dxa"/>
            <w:vAlign w:val="center"/>
          </w:tcPr>
          <w:p w14:paraId="2D510239" w14:textId="26DF6914"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17CEFCFB" w14:textId="77777777" w:rsidR="003F3B58" w:rsidRPr="00BC2D08" w:rsidRDefault="003F3B58" w:rsidP="003F3B58">
            <w:pPr>
              <w:rPr>
                <w:rFonts w:ascii="Verdana" w:hAnsi="Verdana"/>
                <w:sz w:val="15"/>
                <w:szCs w:val="15"/>
              </w:rPr>
            </w:pPr>
          </w:p>
        </w:tc>
      </w:tr>
      <w:tr w:rsidR="00E1254C" w:rsidRPr="00733988" w14:paraId="4431977D" w14:textId="77777777" w:rsidTr="00D87A87">
        <w:trPr>
          <w:trHeight w:val="291"/>
        </w:trPr>
        <w:tc>
          <w:tcPr>
            <w:tcW w:w="23106" w:type="dxa"/>
            <w:gridSpan w:val="9"/>
            <w:shd w:val="clear" w:color="auto" w:fill="D0CECE" w:themeFill="background2" w:themeFillShade="E6"/>
          </w:tcPr>
          <w:p w14:paraId="3A3952FD" w14:textId="7FA2F4D8" w:rsidR="00E1254C" w:rsidRPr="00E1254C" w:rsidRDefault="00E1254C" w:rsidP="00E1254C">
            <w:pPr>
              <w:pStyle w:val="ListParagraph"/>
              <w:numPr>
                <w:ilvl w:val="0"/>
                <w:numId w:val="37"/>
              </w:numPr>
              <w:rPr>
                <w:rFonts w:ascii="Verdana" w:hAnsi="Verdana"/>
                <w:sz w:val="18"/>
                <w:szCs w:val="18"/>
              </w:rPr>
            </w:pPr>
            <w:r w:rsidRPr="00E1254C">
              <w:rPr>
                <w:rFonts w:ascii="Verdana" w:hAnsi="Verdana"/>
                <w:b/>
                <w:bCs/>
                <w:sz w:val="18"/>
                <w:szCs w:val="18"/>
              </w:rPr>
              <w:t>Financial Commitments</w:t>
            </w:r>
          </w:p>
        </w:tc>
      </w:tr>
      <w:tr w:rsidR="003F3B58" w:rsidRPr="00733988" w14:paraId="02D35951" w14:textId="77777777" w:rsidTr="00F53670">
        <w:trPr>
          <w:trHeight w:val="841"/>
        </w:trPr>
        <w:tc>
          <w:tcPr>
            <w:tcW w:w="5388" w:type="dxa"/>
          </w:tcPr>
          <w:p w14:paraId="7042545B" w14:textId="0519C3CC" w:rsidR="003F3B58" w:rsidRPr="00AD2FBF" w:rsidRDefault="003F3B58" w:rsidP="003F3B58">
            <w:pPr>
              <w:pStyle w:val="Recitals"/>
              <w:numPr>
                <w:ilvl w:val="0"/>
                <w:numId w:val="0"/>
              </w:numPr>
              <w:spacing w:after="0" w:line="240" w:lineRule="auto"/>
              <w:ind w:left="459" w:hanging="459"/>
              <w:jc w:val="left"/>
              <w:rPr>
                <w:rFonts w:ascii="Verdana" w:hAnsi="Verdana"/>
                <w:sz w:val="18"/>
                <w:szCs w:val="18"/>
              </w:rPr>
            </w:pPr>
            <w:r w:rsidRPr="00293544">
              <w:rPr>
                <w:rFonts w:ascii="Verdana" w:hAnsi="Verdana"/>
                <w:sz w:val="18"/>
                <w:szCs w:val="18"/>
              </w:rPr>
              <w:t xml:space="preserve">4.1 </w:t>
            </w:r>
            <w:r>
              <w:rPr>
                <w:rFonts w:ascii="Verdana" w:hAnsi="Verdana"/>
                <w:sz w:val="18"/>
                <w:szCs w:val="18"/>
              </w:rPr>
              <w:t xml:space="preserve"> </w:t>
            </w:r>
            <w:r w:rsidRPr="00293544">
              <w:rPr>
                <w:rFonts w:ascii="Verdana" w:hAnsi="Verdana"/>
                <w:sz w:val="18"/>
                <w:szCs w:val="18"/>
              </w:rPr>
              <w:t xml:space="preserve">Making of a loan, granting of credit or giving of a guarantee or indemnity </w:t>
            </w:r>
            <w:r>
              <w:rPr>
                <w:rFonts w:ascii="Verdana" w:hAnsi="Verdana"/>
                <w:sz w:val="18"/>
                <w:szCs w:val="18"/>
              </w:rPr>
              <w:t xml:space="preserve">by the Group, </w:t>
            </w:r>
            <w:r w:rsidRPr="00293544">
              <w:rPr>
                <w:rFonts w:ascii="Verdana" w:hAnsi="Verdana"/>
                <w:sz w:val="18"/>
                <w:szCs w:val="18"/>
              </w:rPr>
              <w:t xml:space="preserve">apart from intra-group arrangements entered into in </w:t>
            </w:r>
            <w:r>
              <w:rPr>
                <w:rFonts w:ascii="Verdana" w:hAnsi="Verdana"/>
                <w:sz w:val="18"/>
                <w:szCs w:val="18"/>
              </w:rPr>
              <w:t>the ordinary course of business</w:t>
            </w:r>
            <w:r w:rsidRPr="00293544">
              <w:rPr>
                <w:rStyle w:val="FootnoteReference"/>
                <w:rFonts w:ascii="Verdana" w:hAnsi="Verdana"/>
                <w:sz w:val="18"/>
                <w:szCs w:val="18"/>
              </w:rPr>
              <w:footnoteReference w:id="7"/>
            </w:r>
            <w:r>
              <w:rPr>
                <w:rFonts w:ascii="Verdana" w:hAnsi="Verdana"/>
                <w:sz w:val="18"/>
                <w:szCs w:val="18"/>
              </w:rPr>
              <w:t xml:space="preserve"> </w:t>
            </w:r>
            <w:r w:rsidRPr="00293544">
              <w:rPr>
                <w:rFonts w:ascii="Verdana" w:hAnsi="Verdana"/>
                <w:sz w:val="18"/>
                <w:szCs w:val="18"/>
              </w:rPr>
              <w:t>(Article 8.1 (O))</w:t>
            </w:r>
          </w:p>
        </w:tc>
        <w:tc>
          <w:tcPr>
            <w:tcW w:w="1701" w:type="dxa"/>
            <w:vAlign w:val="center"/>
          </w:tcPr>
          <w:p w14:paraId="1F6AF71A" w14:textId="73F7B528"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for recommendation to POL Board</w:t>
            </w:r>
          </w:p>
        </w:tc>
        <w:tc>
          <w:tcPr>
            <w:tcW w:w="1559" w:type="dxa"/>
            <w:vAlign w:val="center"/>
          </w:tcPr>
          <w:p w14:paraId="65965378" w14:textId="33E7938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30D172E" w14:textId="5612BFD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751FFEB4" w14:textId="61FEB97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4A586B1B" w14:textId="7DE34475"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0376B48" w14:textId="153C6E19" w:rsidR="003F3B58" w:rsidRPr="00BC2D08" w:rsidRDefault="003F3B58" w:rsidP="003F3B58">
            <w:pPr>
              <w:pStyle w:val="ListParagraph"/>
              <w:ind w:left="33"/>
              <w:jc w:val="center"/>
              <w:rPr>
                <w:rFonts w:ascii="Verdana" w:hAnsi="Verdana"/>
                <w:sz w:val="15"/>
                <w:szCs w:val="15"/>
              </w:rPr>
            </w:pPr>
          </w:p>
          <w:p w14:paraId="6B675DFE" w14:textId="391B50F2"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subject to Shareholder consent</w:t>
            </w:r>
          </w:p>
        </w:tc>
        <w:tc>
          <w:tcPr>
            <w:tcW w:w="1852" w:type="dxa"/>
            <w:vAlign w:val="center"/>
          </w:tcPr>
          <w:p w14:paraId="67FD18B2" w14:textId="77777777" w:rsidR="003F3B58" w:rsidRPr="00BC2D08" w:rsidRDefault="003F3B58" w:rsidP="003F3B58">
            <w:pPr>
              <w:jc w:val="center"/>
              <w:rPr>
                <w:rFonts w:ascii="Verdana" w:hAnsi="Verdana"/>
                <w:color w:val="FF0000"/>
                <w:sz w:val="15"/>
                <w:szCs w:val="15"/>
              </w:rPr>
            </w:pPr>
          </w:p>
          <w:p w14:paraId="778DBA27" w14:textId="4C1BE4EA"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132B6521" w14:textId="5ADB8E34" w:rsidR="003F3B58" w:rsidRPr="00BC2D08" w:rsidRDefault="003F3B58" w:rsidP="003F3B58">
            <w:pPr>
              <w:rPr>
                <w:rFonts w:ascii="Verdana" w:hAnsi="Verdana"/>
                <w:sz w:val="15"/>
                <w:szCs w:val="15"/>
              </w:rPr>
            </w:pPr>
            <w:r w:rsidRPr="00BC2D08">
              <w:rPr>
                <w:rFonts w:ascii="Verdana" w:hAnsi="Verdana"/>
                <w:sz w:val="15"/>
                <w:szCs w:val="15"/>
              </w:rPr>
              <w:t xml:space="preserve">Refer to the Treasury Policy for authorities in relation to intra-group loans. </w:t>
            </w:r>
          </w:p>
        </w:tc>
      </w:tr>
      <w:tr w:rsidR="003F3B58" w:rsidRPr="00733988" w14:paraId="618E5DEB" w14:textId="77777777" w:rsidTr="00F53670">
        <w:trPr>
          <w:trHeight w:val="841"/>
        </w:trPr>
        <w:tc>
          <w:tcPr>
            <w:tcW w:w="5388" w:type="dxa"/>
          </w:tcPr>
          <w:p w14:paraId="5D9A565D" w14:textId="50E4213A" w:rsidR="003F3B58" w:rsidRPr="00293544" w:rsidRDefault="003F3B58" w:rsidP="003F3B58">
            <w:pPr>
              <w:pStyle w:val="Recitals"/>
              <w:numPr>
                <w:ilvl w:val="0"/>
                <w:numId w:val="0"/>
              </w:numPr>
              <w:spacing w:after="0" w:line="240" w:lineRule="auto"/>
              <w:ind w:left="459" w:hanging="459"/>
              <w:jc w:val="left"/>
              <w:rPr>
                <w:rFonts w:ascii="Verdana" w:hAnsi="Verdana"/>
                <w:sz w:val="18"/>
                <w:szCs w:val="18"/>
              </w:rPr>
            </w:pPr>
            <w:r>
              <w:rPr>
                <w:rFonts w:ascii="Verdana" w:hAnsi="Verdana"/>
                <w:sz w:val="18"/>
                <w:szCs w:val="18"/>
              </w:rPr>
              <w:t>4.2  T</w:t>
            </w:r>
            <w:r w:rsidRPr="00293544">
              <w:rPr>
                <w:rFonts w:ascii="Verdana" w:hAnsi="Verdana"/>
                <w:sz w:val="18"/>
                <w:szCs w:val="18"/>
              </w:rPr>
              <w:t>he establishment of (or approval of any agreement to establish) a new pension scheme by any member</w:t>
            </w:r>
            <w:r>
              <w:rPr>
                <w:rFonts w:ascii="Verdana" w:hAnsi="Verdana"/>
                <w:sz w:val="18"/>
                <w:szCs w:val="18"/>
              </w:rPr>
              <w:t xml:space="preserve"> of the Group (Article 8.1 (T))</w:t>
            </w:r>
          </w:p>
        </w:tc>
        <w:tc>
          <w:tcPr>
            <w:tcW w:w="1701" w:type="dxa"/>
            <w:vAlign w:val="center"/>
          </w:tcPr>
          <w:p w14:paraId="64EFB2D4" w14:textId="234097BB" w:rsidR="003F3B58" w:rsidRPr="00BC2D08" w:rsidRDefault="003F3B58" w:rsidP="003F3B58">
            <w:pPr>
              <w:jc w:val="center"/>
              <w:rPr>
                <w:rFonts w:ascii="Verdana" w:hAnsi="Verdana"/>
                <w:color w:val="FF0000"/>
                <w:sz w:val="15"/>
                <w:szCs w:val="15"/>
              </w:rPr>
            </w:pPr>
            <w:r w:rsidRPr="00BC2D08">
              <w:rPr>
                <w:rFonts w:ascii="Verdana" w:hAnsi="Verdana"/>
                <w:sz w:val="15"/>
                <w:szCs w:val="15"/>
              </w:rPr>
              <w:t xml:space="preserve">Approve for recommendation to POL </w:t>
            </w:r>
            <w:r>
              <w:rPr>
                <w:rFonts w:ascii="Verdana" w:hAnsi="Verdana"/>
                <w:sz w:val="15"/>
                <w:szCs w:val="15"/>
              </w:rPr>
              <w:t>Board.</w:t>
            </w:r>
          </w:p>
        </w:tc>
        <w:tc>
          <w:tcPr>
            <w:tcW w:w="1559" w:type="dxa"/>
            <w:vAlign w:val="center"/>
          </w:tcPr>
          <w:p w14:paraId="5AAC6BEB" w14:textId="505E777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23B50EB5" w14:textId="5318E0E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7C3E133E" w14:textId="05C8680B" w:rsidR="003F3B58" w:rsidRPr="00BC2D08" w:rsidRDefault="003F3B58" w:rsidP="003F3B58">
            <w:pPr>
              <w:pStyle w:val="ListParagraph"/>
              <w:ind w:left="33"/>
              <w:jc w:val="center"/>
              <w:rPr>
                <w:rFonts w:ascii="Verdana" w:hAnsi="Verdana"/>
                <w:sz w:val="15"/>
                <w:szCs w:val="15"/>
              </w:rPr>
            </w:pPr>
          </w:p>
        </w:tc>
        <w:tc>
          <w:tcPr>
            <w:tcW w:w="1851" w:type="dxa"/>
            <w:vAlign w:val="center"/>
          </w:tcPr>
          <w:p w14:paraId="074FCF25" w14:textId="12C63AE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tcPr>
          <w:p w14:paraId="1B4A4EEC" w14:textId="2D96A54A" w:rsidR="003F3B58" w:rsidRPr="00BC2D08" w:rsidRDefault="003F3B58" w:rsidP="003F3B58">
            <w:pPr>
              <w:pStyle w:val="ListParagraph"/>
              <w:ind w:left="33"/>
              <w:jc w:val="center"/>
              <w:rPr>
                <w:rFonts w:ascii="Verdana" w:hAnsi="Verdana"/>
                <w:sz w:val="15"/>
                <w:szCs w:val="15"/>
              </w:rPr>
            </w:pPr>
          </w:p>
          <w:p w14:paraId="0C795EC7" w14:textId="5E3C91D0"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Approve subject to Shareholder consent</w:t>
            </w:r>
          </w:p>
        </w:tc>
        <w:tc>
          <w:tcPr>
            <w:tcW w:w="1852" w:type="dxa"/>
            <w:vAlign w:val="center"/>
          </w:tcPr>
          <w:p w14:paraId="27359F2F" w14:textId="13353CBD"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4F288BF7" w14:textId="39496CEA" w:rsidR="003F3B58" w:rsidRPr="00BC2D08" w:rsidRDefault="003F3B58" w:rsidP="003F3B58">
            <w:pPr>
              <w:jc w:val="center"/>
              <w:rPr>
                <w:rFonts w:ascii="Verdana" w:hAnsi="Verdana"/>
                <w:sz w:val="15"/>
                <w:szCs w:val="15"/>
              </w:rPr>
            </w:pPr>
          </w:p>
        </w:tc>
      </w:tr>
      <w:tr w:rsidR="003F3B58" w:rsidRPr="00733988" w14:paraId="398522E4" w14:textId="77777777" w:rsidTr="00F53670">
        <w:trPr>
          <w:trHeight w:val="841"/>
        </w:trPr>
        <w:tc>
          <w:tcPr>
            <w:tcW w:w="5388" w:type="dxa"/>
          </w:tcPr>
          <w:p w14:paraId="4B83ED8C" w14:textId="6BB75C3A" w:rsidR="003F3B58" w:rsidRPr="00293544" w:rsidRDefault="003F3B58" w:rsidP="003F3B58">
            <w:pPr>
              <w:pStyle w:val="Recitals"/>
              <w:numPr>
                <w:ilvl w:val="0"/>
                <w:numId w:val="0"/>
              </w:numPr>
              <w:spacing w:after="0" w:line="240" w:lineRule="auto"/>
              <w:ind w:left="459" w:hanging="459"/>
              <w:jc w:val="left"/>
              <w:rPr>
                <w:rFonts w:ascii="Verdana" w:hAnsi="Verdana"/>
                <w:sz w:val="18"/>
                <w:szCs w:val="18"/>
              </w:rPr>
            </w:pPr>
            <w:r>
              <w:rPr>
                <w:rFonts w:ascii="Verdana" w:hAnsi="Verdana"/>
                <w:sz w:val="18"/>
                <w:szCs w:val="18"/>
              </w:rPr>
              <w:t xml:space="preserve">4.3  Approval of the Group pension strategy and any material changes to pension arrangements for the Group, in  particular the rate of contribution made </w:t>
            </w:r>
          </w:p>
        </w:tc>
        <w:tc>
          <w:tcPr>
            <w:tcW w:w="1701" w:type="dxa"/>
            <w:vAlign w:val="center"/>
          </w:tcPr>
          <w:p w14:paraId="7AF5A236" w14:textId="72049C8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 xml:space="preserve">Approve for recommendation to POL </w:t>
            </w:r>
            <w:r>
              <w:rPr>
                <w:rFonts w:ascii="Verdana" w:hAnsi="Verdana"/>
                <w:sz w:val="15"/>
                <w:szCs w:val="15"/>
              </w:rPr>
              <w:t xml:space="preserve">Board. </w:t>
            </w:r>
          </w:p>
        </w:tc>
        <w:tc>
          <w:tcPr>
            <w:tcW w:w="1559" w:type="dxa"/>
            <w:vAlign w:val="center"/>
          </w:tcPr>
          <w:p w14:paraId="3C5CFD22" w14:textId="57016BD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5667E395" w14:textId="6C92708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4C2A3F1C" w14:textId="59CF7EA6" w:rsidR="003F3B58" w:rsidRPr="00BC2D08" w:rsidRDefault="003F3B58" w:rsidP="003F3B58">
            <w:pPr>
              <w:pStyle w:val="ListParagraph"/>
              <w:ind w:left="33"/>
              <w:jc w:val="center"/>
              <w:rPr>
                <w:rFonts w:ascii="Verdana" w:hAnsi="Verdana"/>
                <w:sz w:val="15"/>
                <w:szCs w:val="15"/>
              </w:rPr>
            </w:pPr>
          </w:p>
        </w:tc>
        <w:tc>
          <w:tcPr>
            <w:tcW w:w="1851" w:type="dxa"/>
            <w:vAlign w:val="center"/>
          </w:tcPr>
          <w:p w14:paraId="3C2C6239" w14:textId="59CEC09A"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790271B" w14:textId="68A279ED"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1038E245" w14:textId="30591B9B" w:rsidR="003F3B58" w:rsidRPr="00BC2D08" w:rsidRDefault="003F3B58" w:rsidP="003F3B58">
            <w:pPr>
              <w:jc w:val="center"/>
              <w:rPr>
                <w:rFonts w:ascii="Verdana" w:hAnsi="Verdana"/>
                <w:color w:val="FF0000"/>
                <w:sz w:val="15"/>
                <w:szCs w:val="15"/>
              </w:rPr>
            </w:pPr>
            <w:r w:rsidRPr="00BC2D08">
              <w:rPr>
                <w:rFonts w:ascii="Verdana" w:hAnsi="Verdana"/>
                <w:sz w:val="15"/>
                <w:szCs w:val="15"/>
              </w:rPr>
              <w:t>-</w:t>
            </w:r>
          </w:p>
        </w:tc>
        <w:tc>
          <w:tcPr>
            <w:tcW w:w="5704" w:type="dxa"/>
          </w:tcPr>
          <w:p w14:paraId="714D3207" w14:textId="66E751AC" w:rsidR="003F3B58" w:rsidRPr="00BC2D08" w:rsidRDefault="003F3B58" w:rsidP="003F3B58">
            <w:pPr>
              <w:rPr>
                <w:rFonts w:ascii="Verdana" w:hAnsi="Verdana"/>
                <w:sz w:val="15"/>
                <w:szCs w:val="15"/>
              </w:rPr>
            </w:pPr>
            <w:r w:rsidRPr="00BC2D08">
              <w:rPr>
                <w:rFonts w:ascii="Verdana" w:hAnsi="Verdana"/>
                <w:sz w:val="15"/>
                <w:szCs w:val="15"/>
              </w:rPr>
              <w:t>Any proposal should be reviewed to check whether Shareholder consent is required because of instances each elements of an individual’s remuneration has to be approved by the Shareholder and to check that the approach taken would not run contrary to public sector pay guidance which is deemed to apply to POL.</w:t>
            </w:r>
          </w:p>
        </w:tc>
      </w:tr>
      <w:tr w:rsidR="003F3B58" w:rsidRPr="00733988" w14:paraId="28D60829" w14:textId="77777777" w:rsidTr="006A4222">
        <w:trPr>
          <w:trHeight w:val="841"/>
        </w:trPr>
        <w:tc>
          <w:tcPr>
            <w:tcW w:w="5388" w:type="dxa"/>
          </w:tcPr>
          <w:p w14:paraId="356558D8" w14:textId="3EE5A667" w:rsidR="003F3B58" w:rsidRPr="00293544" w:rsidRDefault="003F3B58" w:rsidP="00195C07">
            <w:pPr>
              <w:pStyle w:val="Recitals"/>
              <w:numPr>
                <w:ilvl w:val="0"/>
                <w:numId w:val="0"/>
              </w:numPr>
              <w:spacing w:after="0" w:line="240" w:lineRule="auto"/>
              <w:ind w:left="459" w:hanging="459"/>
              <w:jc w:val="left"/>
              <w:rPr>
                <w:rFonts w:ascii="Verdana" w:hAnsi="Verdana"/>
                <w:sz w:val="18"/>
                <w:szCs w:val="18"/>
              </w:rPr>
            </w:pPr>
            <w:r w:rsidRPr="00293544">
              <w:rPr>
                <w:rFonts w:ascii="Verdana" w:hAnsi="Verdana"/>
                <w:sz w:val="18"/>
                <w:szCs w:val="18"/>
              </w:rPr>
              <w:t>4.</w:t>
            </w:r>
            <w:r>
              <w:rPr>
                <w:rFonts w:ascii="Verdana" w:hAnsi="Verdana"/>
                <w:sz w:val="18"/>
                <w:szCs w:val="18"/>
              </w:rPr>
              <w:t>4</w:t>
            </w:r>
            <w:r w:rsidRPr="00293544">
              <w:rPr>
                <w:rFonts w:ascii="Verdana" w:hAnsi="Verdana"/>
                <w:sz w:val="18"/>
                <w:szCs w:val="18"/>
              </w:rPr>
              <w:t xml:space="preserve"> </w:t>
            </w:r>
            <w:r>
              <w:rPr>
                <w:rFonts w:ascii="Verdana" w:hAnsi="Verdana"/>
                <w:sz w:val="18"/>
                <w:szCs w:val="18"/>
              </w:rPr>
              <w:t xml:space="preserve"> </w:t>
            </w:r>
            <w:r w:rsidRPr="00293544">
              <w:rPr>
                <w:rFonts w:ascii="Verdana" w:hAnsi="Verdana"/>
                <w:sz w:val="18"/>
                <w:szCs w:val="18"/>
              </w:rPr>
              <w:t>Entry into a Relevant Transaction</w:t>
            </w:r>
            <w:r w:rsidRPr="00293544">
              <w:rPr>
                <w:rStyle w:val="FootnoteReference"/>
                <w:rFonts w:ascii="Verdana" w:hAnsi="Verdana"/>
                <w:sz w:val="18"/>
                <w:szCs w:val="18"/>
              </w:rPr>
              <w:footnoteReference w:id="8"/>
            </w:r>
            <w:r>
              <w:rPr>
                <w:rFonts w:ascii="Verdana" w:hAnsi="Verdana"/>
                <w:sz w:val="18"/>
                <w:szCs w:val="18"/>
              </w:rPr>
              <w:t xml:space="preserve"> whereby</w:t>
            </w:r>
            <w:r w:rsidRPr="00293544">
              <w:rPr>
                <w:rFonts w:ascii="Verdana" w:hAnsi="Verdana"/>
                <w:sz w:val="18"/>
                <w:szCs w:val="18"/>
              </w:rPr>
              <w:t xml:space="preserve"> </w:t>
            </w:r>
            <w:r>
              <w:rPr>
                <w:rFonts w:ascii="Verdana" w:hAnsi="Verdana"/>
                <w:sz w:val="18"/>
                <w:szCs w:val="18"/>
              </w:rPr>
              <w:t>any Group Company</w:t>
            </w:r>
            <w:r w:rsidRPr="00293544">
              <w:rPr>
                <w:rFonts w:ascii="Verdana" w:hAnsi="Verdana"/>
                <w:sz w:val="18"/>
                <w:szCs w:val="18"/>
              </w:rPr>
              <w:t xml:space="preserve">’s interest in an asset is lost meaning it can no longer perform the business of the Company as per the Group Strategic Plan </w:t>
            </w:r>
            <w:r>
              <w:rPr>
                <w:rFonts w:ascii="Verdana" w:hAnsi="Verdana"/>
                <w:sz w:val="18"/>
                <w:szCs w:val="18"/>
              </w:rPr>
              <w:t>(Article 8.1 (W))</w:t>
            </w:r>
          </w:p>
        </w:tc>
        <w:tc>
          <w:tcPr>
            <w:tcW w:w="1701" w:type="dxa"/>
            <w:vAlign w:val="center"/>
          </w:tcPr>
          <w:p w14:paraId="25419822" w14:textId="77777777" w:rsidR="003F3B58" w:rsidRPr="00BC2D08" w:rsidRDefault="003F3B58" w:rsidP="003F3B58">
            <w:pPr>
              <w:pStyle w:val="ListParagraph"/>
              <w:ind w:left="33"/>
              <w:jc w:val="center"/>
              <w:rPr>
                <w:rFonts w:ascii="Verdana" w:hAnsi="Verdana"/>
                <w:sz w:val="15"/>
                <w:szCs w:val="15"/>
              </w:rPr>
            </w:pPr>
          </w:p>
          <w:p w14:paraId="01032A08" w14:textId="6076073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71702F33" w14:textId="5EE7B8DC"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77CF9D81" w14:textId="7AABBC57"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79C2F495" w14:textId="2C829EF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340E33E9" w14:textId="139C97B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08681790" w14:textId="607643A6" w:rsidR="003F3B58" w:rsidRPr="00BC2D08" w:rsidRDefault="003F3B58" w:rsidP="003F3B58">
            <w:pPr>
              <w:pStyle w:val="ListParagraph"/>
              <w:ind w:left="33"/>
              <w:jc w:val="center"/>
              <w:rPr>
                <w:rFonts w:ascii="Verdana" w:hAnsi="Verdana"/>
                <w:sz w:val="15"/>
                <w:szCs w:val="15"/>
              </w:rPr>
            </w:pPr>
          </w:p>
          <w:p w14:paraId="3B8EA3FF" w14:textId="1C5CA3EA"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29090F1E" w14:textId="77777777" w:rsidR="003F3B58" w:rsidRPr="00BC2D08" w:rsidRDefault="003F3B58" w:rsidP="003F3B58">
            <w:pPr>
              <w:jc w:val="center"/>
              <w:rPr>
                <w:rFonts w:ascii="Verdana" w:hAnsi="Verdana"/>
                <w:color w:val="FF0000"/>
                <w:sz w:val="15"/>
                <w:szCs w:val="15"/>
              </w:rPr>
            </w:pPr>
          </w:p>
          <w:p w14:paraId="6A364048" w14:textId="38CE24E3"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3E4CF168" w14:textId="4F70C897" w:rsidR="003F3B58" w:rsidRPr="00BC2D08" w:rsidRDefault="003F3B58" w:rsidP="003F3B58">
            <w:pPr>
              <w:rPr>
                <w:rFonts w:ascii="Verdana" w:hAnsi="Verdana"/>
                <w:sz w:val="15"/>
                <w:szCs w:val="15"/>
              </w:rPr>
            </w:pPr>
            <w:r w:rsidRPr="00BC2D08">
              <w:rPr>
                <w:rFonts w:ascii="Verdana" w:hAnsi="Verdana"/>
                <w:sz w:val="15"/>
                <w:szCs w:val="15"/>
              </w:rPr>
              <w:t>If the Company is still able to exclusively use the asset for the remainder of its useful economic life, Shareholder (POL) approval and Parent Shareholder (DBT) consent is not required. However the Relevant Transaction must be approved by the Board.</w:t>
            </w:r>
          </w:p>
        </w:tc>
      </w:tr>
      <w:tr w:rsidR="003F3B58" w:rsidRPr="00733988" w14:paraId="5ED5B9F2" w14:textId="77777777" w:rsidTr="006A4222">
        <w:trPr>
          <w:trHeight w:val="841"/>
        </w:trPr>
        <w:tc>
          <w:tcPr>
            <w:tcW w:w="5388" w:type="dxa"/>
          </w:tcPr>
          <w:p w14:paraId="04D24C1A" w14:textId="72AB73DE" w:rsidR="003F3B58" w:rsidRPr="00AD2FBF" w:rsidRDefault="00195C07" w:rsidP="00195C07">
            <w:pPr>
              <w:pStyle w:val="Recitals"/>
              <w:numPr>
                <w:ilvl w:val="0"/>
                <w:numId w:val="0"/>
              </w:numPr>
              <w:spacing w:after="0" w:line="240" w:lineRule="auto"/>
              <w:ind w:left="459" w:hanging="462"/>
              <w:jc w:val="left"/>
              <w:rPr>
                <w:rFonts w:ascii="Verdana" w:hAnsi="Verdana"/>
                <w:sz w:val="18"/>
                <w:szCs w:val="18"/>
              </w:rPr>
            </w:pPr>
            <w:bookmarkStart w:id="0" w:name="_Ref531768668"/>
            <w:r>
              <w:rPr>
                <w:rFonts w:ascii="Verdana" w:hAnsi="Verdana"/>
                <w:sz w:val="18"/>
                <w:szCs w:val="18"/>
              </w:rPr>
              <w:t xml:space="preserve">4.5  </w:t>
            </w:r>
            <w:r w:rsidR="003F3B58" w:rsidRPr="00293544">
              <w:rPr>
                <w:rFonts w:ascii="Verdana" w:hAnsi="Verdana"/>
                <w:sz w:val="18"/>
                <w:szCs w:val="18"/>
              </w:rPr>
              <w:t>The entry into or implementation of a Relevant Transaction</w:t>
            </w:r>
            <w:r w:rsidR="003F3B58" w:rsidRPr="00293544">
              <w:rPr>
                <w:rStyle w:val="FootnoteReference"/>
                <w:rFonts w:ascii="Verdana" w:hAnsi="Verdana"/>
                <w:sz w:val="18"/>
                <w:szCs w:val="18"/>
              </w:rPr>
              <w:footnoteReference w:id="9"/>
            </w:r>
            <w:r w:rsidR="003F3B58">
              <w:rPr>
                <w:rFonts w:ascii="Verdana" w:hAnsi="Verdana"/>
                <w:sz w:val="18"/>
                <w:szCs w:val="18"/>
              </w:rPr>
              <w:t xml:space="preserve"> by any member of the Group </w:t>
            </w:r>
            <w:r w:rsidR="003F3B58" w:rsidRPr="00293544">
              <w:rPr>
                <w:rFonts w:ascii="Verdana" w:hAnsi="Verdana"/>
                <w:sz w:val="18"/>
                <w:szCs w:val="18"/>
              </w:rPr>
              <w:t xml:space="preserve">involving actual or likely </w:t>
            </w:r>
            <w:r w:rsidR="00F9688C">
              <w:rPr>
                <w:rFonts w:ascii="Verdana" w:hAnsi="Verdana"/>
                <w:sz w:val="18"/>
                <w:szCs w:val="18"/>
              </w:rPr>
              <w:t xml:space="preserve">budgeted </w:t>
            </w:r>
            <w:r w:rsidR="003F3B58" w:rsidRPr="00293544">
              <w:rPr>
                <w:rFonts w:ascii="Verdana" w:hAnsi="Verdana"/>
                <w:sz w:val="18"/>
                <w:szCs w:val="18"/>
              </w:rPr>
              <w:t>spend or liability in excess of £50,000,000</w:t>
            </w:r>
            <w:r w:rsidR="003F3B58">
              <w:rPr>
                <w:rStyle w:val="FootnoteReference"/>
                <w:rFonts w:ascii="Verdana" w:hAnsi="Verdana"/>
                <w:sz w:val="18"/>
                <w:szCs w:val="18"/>
              </w:rPr>
              <w:footnoteReference w:id="10"/>
            </w:r>
            <w:r w:rsidR="003F3B58">
              <w:rPr>
                <w:rFonts w:ascii="Verdana" w:hAnsi="Verdana"/>
                <w:sz w:val="18"/>
                <w:szCs w:val="18"/>
              </w:rPr>
              <w:t xml:space="preserve"> </w:t>
            </w:r>
            <w:r w:rsidR="003F3B58" w:rsidRPr="00293544">
              <w:rPr>
                <w:rFonts w:ascii="Verdana" w:hAnsi="Verdana"/>
                <w:sz w:val="18"/>
                <w:szCs w:val="18"/>
              </w:rPr>
              <w:t>(Article 8.1 (X))</w:t>
            </w:r>
            <w:bookmarkEnd w:id="0"/>
          </w:p>
        </w:tc>
        <w:tc>
          <w:tcPr>
            <w:tcW w:w="1701" w:type="dxa"/>
            <w:vAlign w:val="center"/>
          </w:tcPr>
          <w:p w14:paraId="3FD039FE" w14:textId="77777777" w:rsidR="003F3B58" w:rsidRPr="00BC2D08" w:rsidRDefault="003F3B58" w:rsidP="003F3B58">
            <w:pPr>
              <w:pStyle w:val="ListParagraph"/>
              <w:ind w:left="33"/>
              <w:jc w:val="center"/>
              <w:rPr>
                <w:rFonts w:ascii="Verdana" w:hAnsi="Verdana"/>
                <w:sz w:val="15"/>
                <w:szCs w:val="15"/>
              </w:rPr>
            </w:pPr>
          </w:p>
          <w:p w14:paraId="5E11D262" w14:textId="6D99D03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6CC0E50C" w14:textId="0D14E211"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477" w:type="dxa"/>
            <w:vAlign w:val="center"/>
          </w:tcPr>
          <w:p w14:paraId="3F1FE955" w14:textId="75316FFA"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723" w:type="dxa"/>
            <w:vAlign w:val="center"/>
          </w:tcPr>
          <w:p w14:paraId="484975E3" w14:textId="2BA88D87"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B5C8C1E" w14:textId="79747787"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6517C1A3" w14:textId="2FA8D768" w:rsidR="003F3B58" w:rsidRPr="00BC2D08" w:rsidRDefault="003F3B58" w:rsidP="003F3B58">
            <w:pPr>
              <w:pStyle w:val="ListParagraph"/>
              <w:ind w:left="33"/>
              <w:jc w:val="center"/>
              <w:rPr>
                <w:rFonts w:ascii="Verdana" w:hAnsi="Verdana"/>
                <w:sz w:val="15"/>
                <w:szCs w:val="15"/>
              </w:rPr>
            </w:pPr>
          </w:p>
          <w:p w14:paraId="34552454" w14:textId="5B6C88E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6DCD7F21" w14:textId="77777777" w:rsidR="003F3B58" w:rsidRPr="00BC2D08" w:rsidRDefault="003F3B58" w:rsidP="003F3B58">
            <w:pPr>
              <w:jc w:val="center"/>
              <w:rPr>
                <w:rFonts w:ascii="Verdana" w:hAnsi="Verdana"/>
                <w:color w:val="FF0000"/>
                <w:sz w:val="15"/>
                <w:szCs w:val="15"/>
              </w:rPr>
            </w:pPr>
          </w:p>
          <w:p w14:paraId="415F828E" w14:textId="1D38E417"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08206BD7" w14:textId="7AA69453" w:rsidR="003F3B58" w:rsidRPr="00BC2D08" w:rsidRDefault="003F3B58" w:rsidP="003F3B58">
            <w:pPr>
              <w:rPr>
                <w:rFonts w:ascii="Verdana" w:hAnsi="Verdana"/>
                <w:sz w:val="15"/>
                <w:szCs w:val="15"/>
              </w:rPr>
            </w:pPr>
            <w:r w:rsidRPr="00BC2D08">
              <w:rPr>
                <w:rFonts w:ascii="Verdana" w:hAnsi="Verdana"/>
                <w:sz w:val="15"/>
                <w:szCs w:val="15"/>
              </w:rPr>
              <w:t>Consider if the change spend approval process must be followed before consent is obtained (see 4.11 below)</w:t>
            </w:r>
          </w:p>
        </w:tc>
      </w:tr>
      <w:tr w:rsidR="003F3B58" w:rsidRPr="00733988" w14:paraId="359F3FF1" w14:textId="77777777" w:rsidTr="006A4222">
        <w:trPr>
          <w:trHeight w:val="841"/>
        </w:trPr>
        <w:tc>
          <w:tcPr>
            <w:tcW w:w="5388" w:type="dxa"/>
          </w:tcPr>
          <w:p w14:paraId="0F38905E" w14:textId="40FB819C" w:rsidR="003F3B58" w:rsidRPr="00293544" w:rsidRDefault="003F3B58" w:rsidP="000E2A31">
            <w:pPr>
              <w:pStyle w:val="Recitals"/>
              <w:numPr>
                <w:ilvl w:val="1"/>
                <w:numId w:val="37"/>
              </w:numPr>
              <w:spacing w:after="0" w:line="240" w:lineRule="auto"/>
              <w:ind w:left="462" w:hanging="462"/>
              <w:jc w:val="left"/>
              <w:rPr>
                <w:rFonts w:ascii="Verdana" w:hAnsi="Verdana"/>
                <w:sz w:val="18"/>
                <w:szCs w:val="18"/>
              </w:rPr>
            </w:pPr>
            <w:r w:rsidRPr="00293544">
              <w:rPr>
                <w:rFonts w:ascii="Verdana" w:hAnsi="Verdana"/>
                <w:sz w:val="18"/>
                <w:szCs w:val="18"/>
              </w:rPr>
              <w:lastRenderedPageBreak/>
              <w:t>The entry by any member of the Group into any Relevant Transaction which is not on commercial terms and is not considered by the directors of the relevant member of the Group to be in the interests of that mem</w:t>
            </w:r>
            <w:r>
              <w:rPr>
                <w:rFonts w:ascii="Verdana" w:hAnsi="Verdana"/>
                <w:sz w:val="18"/>
                <w:szCs w:val="18"/>
              </w:rPr>
              <w:t>ber of the Group (Article 8.1</w:t>
            </w:r>
            <w:r w:rsidRPr="00293544">
              <w:rPr>
                <w:rFonts w:ascii="Verdana" w:hAnsi="Verdana"/>
                <w:sz w:val="18"/>
                <w:szCs w:val="18"/>
              </w:rPr>
              <w:t xml:space="preserve"> (Y))</w:t>
            </w:r>
          </w:p>
        </w:tc>
        <w:tc>
          <w:tcPr>
            <w:tcW w:w="1701" w:type="dxa"/>
          </w:tcPr>
          <w:p w14:paraId="22D31AC8" w14:textId="77777777" w:rsidR="003F3B58" w:rsidRPr="00BC2D08" w:rsidRDefault="003F3B58" w:rsidP="003F3B58">
            <w:pPr>
              <w:pStyle w:val="ListParagraph"/>
              <w:ind w:left="33"/>
              <w:jc w:val="center"/>
              <w:rPr>
                <w:rFonts w:ascii="Verdana" w:hAnsi="Verdana"/>
                <w:sz w:val="15"/>
                <w:szCs w:val="15"/>
              </w:rPr>
            </w:pPr>
          </w:p>
          <w:p w14:paraId="7F6AE03D" w14:textId="17B7218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42297EE5" w14:textId="2204313C"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477" w:type="dxa"/>
            <w:vAlign w:val="center"/>
          </w:tcPr>
          <w:p w14:paraId="4CF5DF0C" w14:textId="15E191C2"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723" w:type="dxa"/>
            <w:vAlign w:val="center"/>
          </w:tcPr>
          <w:p w14:paraId="373DEF3A" w14:textId="11133A6E"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F251AAA" w14:textId="041A7D8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tcPr>
          <w:p w14:paraId="678D2A34" w14:textId="02512C82" w:rsidR="003F3B58" w:rsidRPr="00BC2D08" w:rsidRDefault="003F3B58" w:rsidP="003F3B58">
            <w:pPr>
              <w:pStyle w:val="ListParagraph"/>
              <w:ind w:left="33"/>
              <w:jc w:val="center"/>
              <w:rPr>
                <w:rFonts w:ascii="Verdana" w:hAnsi="Verdana"/>
                <w:sz w:val="15"/>
                <w:szCs w:val="15"/>
              </w:rPr>
            </w:pPr>
          </w:p>
          <w:p w14:paraId="70D66E65" w14:textId="2D98ECA7"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6D560017" w14:textId="0DDC7197"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174E65AC" w14:textId="08DA0714" w:rsidR="003F3B58" w:rsidRPr="00BC2D08" w:rsidRDefault="003F3B58" w:rsidP="003F3B58">
            <w:pPr>
              <w:jc w:val="center"/>
              <w:rPr>
                <w:rFonts w:ascii="Verdana" w:hAnsi="Verdana"/>
                <w:sz w:val="15"/>
                <w:szCs w:val="15"/>
              </w:rPr>
            </w:pPr>
          </w:p>
        </w:tc>
      </w:tr>
      <w:tr w:rsidR="003F3B58" w:rsidRPr="00733988" w14:paraId="49B6E09F" w14:textId="77777777" w:rsidTr="006A4222">
        <w:trPr>
          <w:trHeight w:val="841"/>
        </w:trPr>
        <w:tc>
          <w:tcPr>
            <w:tcW w:w="5388" w:type="dxa"/>
          </w:tcPr>
          <w:p w14:paraId="632A1DCB" w14:textId="397246B1" w:rsidR="003F3B58" w:rsidRPr="00823DF2" w:rsidRDefault="000E2A31" w:rsidP="000E2A31">
            <w:pPr>
              <w:pStyle w:val="Recitals"/>
              <w:numPr>
                <w:ilvl w:val="0"/>
                <w:numId w:val="0"/>
              </w:numPr>
              <w:spacing w:after="0" w:line="240" w:lineRule="auto"/>
              <w:ind w:left="462" w:hanging="462"/>
              <w:jc w:val="left"/>
              <w:rPr>
                <w:rFonts w:ascii="Verdana" w:hAnsi="Verdana"/>
                <w:sz w:val="18"/>
                <w:szCs w:val="18"/>
              </w:rPr>
            </w:pPr>
            <w:bookmarkStart w:id="1" w:name="_Ref536515676"/>
            <w:r>
              <w:rPr>
                <w:rFonts w:ascii="Verdana" w:hAnsi="Verdana"/>
                <w:sz w:val="18"/>
                <w:szCs w:val="18"/>
              </w:rPr>
              <w:t>4.7  T</w:t>
            </w:r>
            <w:r w:rsidR="003F3B58" w:rsidRPr="00293544">
              <w:rPr>
                <w:rFonts w:ascii="Verdana" w:hAnsi="Verdana"/>
                <w:sz w:val="18"/>
                <w:szCs w:val="18"/>
              </w:rPr>
              <w:t>he borrowing of funds</w:t>
            </w:r>
            <w:r w:rsidR="003F3B58">
              <w:rPr>
                <w:rFonts w:ascii="Verdana" w:hAnsi="Verdana"/>
                <w:sz w:val="18"/>
                <w:szCs w:val="18"/>
              </w:rPr>
              <w:t xml:space="preserve"> by any member of the Group</w:t>
            </w:r>
            <w:r w:rsidR="003F3B58" w:rsidRPr="00293544">
              <w:rPr>
                <w:rFonts w:ascii="Verdana" w:hAnsi="Verdana"/>
                <w:sz w:val="18"/>
                <w:szCs w:val="18"/>
              </w:rPr>
              <w:t xml:space="preserve"> from any source other than </w:t>
            </w:r>
            <w:r w:rsidR="003F3B58" w:rsidRPr="006046A6">
              <w:rPr>
                <w:rFonts w:ascii="Verdana" w:hAnsi="Verdana"/>
                <w:sz w:val="18"/>
                <w:szCs w:val="18"/>
              </w:rPr>
              <w:t>another member of the Group</w:t>
            </w:r>
            <w:r w:rsidR="003F3B58">
              <w:rPr>
                <w:rFonts w:ascii="Verdana" w:hAnsi="Verdana"/>
                <w:sz w:val="18"/>
                <w:szCs w:val="18"/>
              </w:rPr>
              <w:t xml:space="preserve"> (Article 8.1 (AA))</w:t>
            </w:r>
            <w:bookmarkEnd w:id="1"/>
          </w:p>
        </w:tc>
        <w:tc>
          <w:tcPr>
            <w:tcW w:w="1701" w:type="dxa"/>
            <w:vAlign w:val="center"/>
          </w:tcPr>
          <w:p w14:paraId="3001D43F" w14:textId="77777777" w:rsidR="003F3B58" w:rsidRPr="00BC2D08" w:rsidRDefault="003F3B58" w:rsidP="003F3B58">
            <w:pPr>
              <w:pStyle w:val="ListParagraph"/>
              <w:ind w:left="33"/>
              <w:jc w:val="center"/>
              <w:rPr>
                <w:rFonts w:ascii="Verdana" w:hAnsi="Verdana"/>
                <w:sz w:val="15"/>
                <w:szCs w:val="15"/>
              </w:rPr>
            </w:pPr>
          </w:p>
          <w:p w14:paraId="650DC0CE" w14:textId="51384DD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5BAA9778" w14:textId="10DB1F29"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477" w:type="dxa"/>
            <w:vAlign w:val="center"/>
          </w:tcPr>
          <w:p w14:paraId="3A81C15E" w14:textId="4147105B" w:rsidR="003F3B58" w:rsidRPr="00BC2D08" w:rsidRDefault="003F3B58" w:rsidP="003F3B58">
            <w:pPr>
              <w:pStyle w:val="ListParagraph"/>
              <w:ind w:left="33"/>
              <w:jc w:val="center"/>
              <w:rPr>
                <w:rFonts w:ascii="Verdana" w:hAnsi="Verdana"/>
                <w:color w:val="FF0000"/>
                <w:sz w:val="15"/>
                <w:szCs w:val="15"/>
              </w:rPr>
            </w:pPr>
            <w:r w:rsidRPr="00BC2D08">
              <w:rPr>
                <w:rFonts w:ascii="Verdana" w:hAnsi="Verdana"/>
                <w:sz w:val="15"/>
                <w:szCs w:val="15"/>
              </w:rPr>
              <w:t>-</w:t>
            </w:r>
          </w:p>
        </w:tc>
        <w:tc>
          <w:tcPr>
            <w:tcW w:w="1723" w:type="dxa"/>
            <w:vAlign w:val="center"/>
          </w:tcPr>
          <w:p w14:paraId="0B8D481C" w14:textId="5BEDAE16"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49DF503" w14:textId="074DF405"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780E88CA" w14:textId="3F49FDE4" w:rsidR="003F3B58" w:rsidRPr="00BC2D08" w:rsidRDefault="003F3B58" w:rsidP="003F3B58">
            <w:pPr>
              <w:pStyle w:val="ListParagraph"/>
              <w:ind w:left="33"/>
              <w:jc w:val="center"/>
              <w:rPr>
                <w:rFonts w:ascii="Verdana" w:hAnsi="Verdana"/>
                <w:sz w:val="15"/>
                <w:szCs w:val="15"/>
              </w:rPr>
            </w:pPr>
          </w:p>
          <w:p w14:paraId="2CE48251" w14:textId="60A2B83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55683398" w14:textId="5CFE7603" w:rsidR="003F3B58" w:rsidRPr="00BC2D08" w:rsidRDefault="003F3B58" w:rsidP="003F3B58">
            <w:pPr>
              <w:jc w:val="center"/>
              <w:rPr>
                <w:rFonts w:ascii="Verdana" w:hAnsi="Verdana"/>
                <w:color w:val="FF0000"/>
                <w:sz w:val="15"/>
                <w:szCs w:val="15"/>
              </w:rPr>
            </w:pPr>
            <w:r w:rsidRPr="00BC2D08">
              <w:rPr>
                <w:rFonts w:ascii="Verdana" w:hAnsi="Verdana"/>
                <w:sz w:val="15"/>
                <w:szCs w:val="15"/>
              </w:rPr>
              <w:t>Consent</w:t>
            </w:r>
          </w:p>
        </w:tc>
        <w:tc>
          <w:tcPr>
            <w:tcW w:w="5704" w:type="dxa"/>
          </w:tcPr>
          <w:p w14:paraId="199023B7" w14:textId="20DD3E24" w:rsidR="003F3B58" w:rsidRPr="00BC2D08" w:rsidRDefault="003F3B58" w:rsidP="003F3B58">
            <w:pPr>
              <w:rPr>
                <w:rFonts w:ascii="Verdana" w:hAnsi="Verdana"/>
                <w:sz w:val="15"/>
                <w:szCs w:val="15"/>
              </w:rPr>
            </w:pPr>
            <w:r w:rsidRPr="00BC2D08">
              <w:rPr>
                <w:rFonts w:ascii="Verdana" w:hAnsi="Verdana"/>
                <w:sz w:val="15"/>
                <w:szCs w:val="15"/>
              </w:rPr>
              <w:t>See Article 8.1 (AA) (a) – (b) for the exact scope and definitions.</w:t>
            </w:r>
          </w:p>
        </w:tc>
      </w:tr>
      <w:tr w:rsidR="003F3B58" w:rsidRPr="00733988" w14:paraId="23EFE0DA" w14:textId="77777777" w:rsidTr="006A4222">
        <w:trPr>
          <w:trHeight w:val="841"/>
        </w:trPr>
        <w:tc>
          <w:tcPr>
            <w:tcW w:w="5388" w:type="dxa"/>
          </w:tcPr>
          <w:p w14:paraId="08DFEA4F" w14:textId="637545A2" w:rsidR="003F3B58" w:rsidRPr="00823DF2" w:rsidRDefault="000E2A31" w:rsidP="000E2A31">
            <w:pPr>
              <w:pStyle w:val="Recitals"/>
              <w:numPr>
                <w:ilvl w:val="0"/>
                <w:numId w:val="0"/>
              </w:numPr>
              <w:spacing w:after="0" w:line="240" w:lineRule="auto"/>
              <w:ind w:left="462" w:hanging="463"/>
              <w:jc w:val="left"/>
              <w:rPr>
                <w:rFonts w:ascii="Verdana" w:hAnsi="Verdana"/>
                <w:sz w:val="18"/>
                <w:szCs w:val="18"/>
              </w:rPr>
            </w:pPr>
            <w:r>
              <w:rPr>
                <w:rFonts w:ascii="Verdana" w:hAnsi="Verdana"/>
                <w:sz w:val="18"/>
                <w:szCs w:val="18"/>
              </w:rPr>
              <w:t xml:space="preserve">4.8   </w:t>
            </w:r>
            <w:r w:rsidR="003F3B58" w:rsidRPr="00823DF2">
              <w:rPr>
                <w:rFonts w:ascii="Verdana" w:hAnsi="Verdana"/>
                <w:sz w:val="18"/>
                <w:szCs w:val="18"/>
              </w:rPr>
              <w:t xml:space="preserve">The entry into or implementation of a transaction (OPEX spend) by the </w:t>
            </w:r>
            <w:r w:rsidR="003F3B58">
              <w:rPr>
                <w:rFonts w:ascii="Verdana" w:hAnsi="Verdana"/>
                <w:sz w:val="18"/>
                <w:szCs w:val="18"/>
              </w:rPr>
              <w:t>Group</w:t>
            </w:r>
            <w:r w:rsidR="003F3B58" w:rsidRPr="00823DF2">
              <w:rPr>
                <w:rFonts w:ascii="Verdana" w:hAnsi="Verdana"/>
                <w:sz w:val="18"/>
                <w:szCs w:val="18"/>
              </w:rPr>
              <w:t xml:space="preserve"> involving actual or likely </w:t>
            </w:r>
            <w:r w:rsidR="00F9688C">
              <w:rPr>
                <w:rFonts w:ascii="Verdana" w:hAnsi="Verdana"/>
                <w:sz w:val="18"/>
                <w:szCs w:val="18"/>
              </w:rPr>
              <w:t xml:space="preserve">budgeted </w:t>
            </w:r>
            <w:r w:rsidR="003F3B58" w:rsidRPr="00823DF2">
              <w:rPr>
                <w:rFonts w:ascii="Verdana" w:hAnsi="Verdana"/>
                <w:sz w:val="18"/>
                <w:szCs w:val="18"/>
              </w:rPr>
              <w:t>spend or liability</w:t>
            </w:r>
            <w:r w:rsidR="003F3B58" w:rsidRPr="00823DF2">
              <w:rPr>
                <w:rStyle w:val="FootnoteReference"/>
                <w:rFonts w:ascii="Verdana" w:hAnsi="Verdana"/>
                <w:sz w:val="18"/>
                <w:szCs w:val="18"/>
              </w:rPr>
              <w:footnoteReference w:id="11"/>
            </w:r>
            <w:r w:rsidR="003F3B58" w:rsidRPr="00823DF2">
              <w:rPr>
                <w:rFonts w:ascii="Verdana" w:hAnsi="Verdana"/>
                <w:sz w:val="18"/>
                <w:szCs w:val="18"/>
              </w:rPr>
              <w:t xml:space="preserve"> in excess of £</w:t>
            </w:r>
            <w:r w:rsidR="003F3B58">
              <w:rPr>
                <w:rFonts w:ascii="Verdana" w:hAnsi="Verdana"/>
                <w:sz w:val="18"/>
                <w:szCs w:val="18"/>
              </w:rPr>
              <w:t>1</w:t>
            </w:r>
            <w:r w:rsidR="003F3B58" w:rsidRPr="00823DF2">
              <w:rPr>
                <w:rFonts w:ascii="Verdana" w:hAnsi="Verdana"/>
                <w:sz w:val="18"/>
                <w:szCs w:val="18"/>
              </w:rPr>
              <w:t>5,000,000</w:t>
            </w:r>
            <w:r w:rsidR="003F3B58">
              <w:rPr>
                <w:rFonts w:ascii="Verdana" w:hAnsi="Verdana"/>
                <w:sz w:val="18"/>
                <w:szCs w:val="18"/>
              </w:rPr>
              <w:t xml:space="preserve"> </w:t>
            </w:r>
          </w:p>
        </w:tc>
        <w:tc>
          <w:tcPr>
            <w:tcW w:w="1701" w:type="dxa"/>
            <w:vAlign w:val="center"/>
          </w:tcPr>
          <w:p w14:paraId="002BDE29" w14:textId="011A9809"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 for recommendation to POL Board</w:t>
            </w:r>
          </w:p>
        </w:tc>
        <w:tc>
          <w:tcPr>
            <w:tcW w:w="1559" w:type="dxa"/>
            <w:vAlign w:val="center"/>
          </w:tcPr>
          <w:p w14:paraId="2DF68E2E" w14:textId="00DFDC74"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66B958E5" w14:textId="271907C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09B2D29C" w14:textId="10DB217F"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851" w:type="dxa"/>
            <w:vAlign w:val="center"/>
          </w:tcPr>
          <w:p w14:paraId="1C55969E" w14:textId="549706BB" w:rsidR="003F3B58" w:rsidRPr="00BC2D08" w:rsidRDefault="003F3B58" w:rsidP="003F3B58">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2512ED69" w14:textId="4A182BD0"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622AA132" w14:textId="4690B1DF"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72174BE9" w14:textId="6C89F007" w:rsidR="003F3B58" w:rsidRPr="00BC2D08" w:rsidRDefault="003F3B58" w:rsidP="003F3B58">
            <w:pPr>
              <w:rPr>
                <w:rFonts w:ascii="Verdana" w:hAnsi="Verdana"/>
                <w:sz w:val="15"/>
                <w:szCs w:val="15"/>
              </w:rPr>
            </w:pPr>
            <w:r w:rsidRPr="00BC2D08">
              <w:rPr>
                <w:rFonts w:ascii="Verdana" w:hAnsi="Verdana"/>
                <w:sz w:val="15"/>
                <w:szCs w:val="15"/>
              </w:rPr>
              <w:t>The Group CEO has delegated authority to approve OPEX spend up to £</w:t>
            </w:r>
            <w:r>
              <w:rPr>
                <w:rFonts w:ascii="Verdana" w:hAnsi="Verdana"/>
                <w:sz w:val="15"/>
                <w:szCs w:val="15"/>
              </w:rPr>
              <w:t>1</w:t>
            </w:r>
            <w:r w:rsidRPr="00BC2D08">
              <w:rPr>
                <w:rFonts w:ascii="Verdana" w:hAnsi="Verdana"/>
                <w:sz w:val="15"/>
                <w:szCs w:val="15"/>
              </w:rPr>
              <w:t xml:space="preserve">5m and may delegate below this limit. </w:t>
            </w:r>
          </w:p>
          <w:p w14:paraId="1876E304" w14:textId="255288A0" w:rsidR="003F3B58" w:rsidRPr="00BC2D08" w:rsidRDefault="003F3B58" w:rsidP="003F3B58">
            <w:pPr>
              <w:rPr>
                <w:rFonts w:ascii="Verdana" w:hAnsi="Verdana"/>
                <w:sz w:val="15"/>
                <w:szCs w:val="15"/>
              </w:rPr>
            </w:pPr>
            <w:r w:rsidRPr="00BC2D08">
              <w:rPr>
                <w:rFonts w:ascii="Verdana" w:hAnsi="Verdana"/>
                <w:sz w:val="15"/>
                <w:szCs w:val="15"/>
              </w:rPr>
              <w:t xml:space="preserve">Each Subsidiary has its own spend approval limits. See applicable Matters Reserved to the Board. </w:t>
            </w:r>
          </w:p>
        </w:tc>
      </w:tr>
      <w:tr w:rsidR="003F3B58" w:rsidRPr="00733988" w14:paraId="6E64D658" w14:textId="77777777" w:rsidTr="006E200D">
        <w:trPr>
          <w:trHeight w:val="841"/>
        </w:trPr>
        <w:tc>
          <w:tcPr>
            <w:tcW w:w="5388" w:type="dxa"/>
          </w:tcPr>
          <w:p w14:paraId="27CF3027" w14:textId="2A4BEFD7" w:rsidR="00195C07" w:rsidRDefault="000E2A31" w:rsidP="000E2A31">
            <w:pPr>
              <w:pStyle w:val="Recitals"/>
              <w:numPr>
                <w:ilvl w:val="0"/>
                <w:numId w:val="0"/>
              </w:numPr>
              <w:spacing w:after="0" w:line="240" w:lineRule="auto"/>
              <w:ind w:left="1171" w:hanging="1171"/>
              <w:jc w:val="left"/>
              <w:rPr>
                <w:rStyle w:val="findhit"/>
                <w:rFonts w:ascii="Verdana" w:hAnsi="Verdana"/>
                <w:sz w:val="18"/>
                <w:szCs w:val="18"/>
                <w:shd w:val="clear" w:color="auto" w:fill="FFFFFF"/>
              </w:rPr>
            </w:pPr>
            <w:r>
              <w:rPr>
                <w:rStyle w:val="normaltextrun"/>
                <w:rFonts w:ascii="Verdana" w:hAnsi="Verdana"/>
                <w:sz w:val="18"/>
                <w:szCs w:val="18"/>
                <w:shd w:val="clear" w:color="auto" w:fill="FFFFFF"/>
              </w:rPr>
              <w:t xml:space="preserve">4.9  </w:t>
            </w:r>
            <w:r w:rsidR="003F3B58" w:rsidRPr="00451D60">
              <w:rPr>
                <w:rStyle w:val="normaltextrun"/>
                <w:rFonts w:ascii="Verdana" w:hAnsi="Verdana"/>
                <w:sz w:val="18"/>
                <w:szCs w:val="18"/>
                <w:shd w:val="clear" w:color="auto" w:fill="FFFFFF"/>
              </w:rPr>
              <w:t>Approval of </w:t>
            </w:r>
            <w:r w:rsidR="00590728">
              <w:rPr>
                <w:rStyle w:val="normaltextrun"/>
                <w:rFonts w:ascii="Verdana" w:hAnsi="Verdana"/>
                <w:sz w:val="18"/>
                <w:szCs w:val="18"/>
                <w:shd w:val="clear" w:color="auto" w:fill="FFFFFF"/>
              </w:rPr>
              <w:t xml:space="preserve">budgeted </w:t>
            </w:r>
            <w:r w:rsidR="00590728">
              <w:rPr>
                <w:rStyle w:val="findhit"/>
                <w:rFonts w:ascii="Verdana" w:hAnsi="Verdana"/>
                <w:sz w:val="18"/>
                <w:szCs w:val="18"/>
                <w:shd w:val="clear" w:color="auto" w:fill="FFFFFF"/>
              </w:rPr>
              <w:t>c</w:t>
            </w:r>
            <w:r w:rsidR="003F3B58" w:rsidRPr="00451D60">
              <w:rPr>
                <w:rStyle w:val="findhit"/>
                <w:rFonts w:ascii="Verdana" w:hAnsi="Verdana"/>
                <w:sz w:val="18"/>
                <w:szCs w:val="18"/>
                <w:shd w:val="clear" w:color="auto" w:fill="FFFFFF"/>
              </w:rPr>
              <w:t xml:space="preserve">hange spend </w:t>
            </w:r>
            <w:r w:rsidR="00CD3FC2">
              <w:rPr>
                <w:rStyle w:val="findhit"/>
                <w:rFonts w:ascii="Verdana" w:hAnsi="Verdana"/>
                <w:sz w:val="18"/>
                <w:szCs w:val="18"/>
                <w:shd w:val="clear" w:color="auto" w:fill="FFFFFF"/>
              </w:rPr>
              <w:t>in excess</w:t>
            </w:r>
          </w:p>
          <w:p w14:paraId="6609570D" w14:textId="6D3B7941" w:rsidR="003F3B58" w:rsidRPr="00451D60" w:rsidRDefault="000E2A31" w:rsidP="000E2A31">
            <w:pPr>
              <w:pStyle w:val="Recitals"/>
              <w:numPr>
                <w:ilvl w:val="0"/>
                <w:numId w:val="0"/>
              </w:numPr>
              <w:spacing w:after="0" w:line="240" w:lineRule="auto"/>
              <w:ind w:left="680" w:hanging="360"/>
              <w:jc w:val="left"/>
              <w:rPr>
                <w:rFonts w:ascii="Verdana" w:hAnsi="Verdana"/>
                <w:sz w:val="18"/>
              </w:rPr>
            </w:pPr>
            <w:r>
              <w:rPr>
                <w:rStyle w:val="findhit"/>
                <w:rFonts w:ascii="Verdana" w:hAnsi="Verdana"/>
                <w:sz w:val="18"/>
                <w:szCs w:val="18"/>
                <w:shd w:val="clear" w:color="auto" w:fill="FFFFFF"/>
              </w:rPr>
              <w:t xml:space="preserve"> </w:t>
            </w:r>
            <w:r w:rsidR="00CD3FC2">
              <w:rPr>
                <w:rStyle w:val="findhit"/>
                <w:rFonts w:ascii="Verdana" w:hAnsi="Verdana"/>
                <w:sz w:val="18"/>
                <w:szCs w:val="18"/>
                <w:shd w:val="clear" w:color="auto" w:fill="FFFFFF"/>
              </w:rPr>
              <w:t xml:space="preserve">of </w:t>
            </w:r>
            <w:r w:rsidR="003F3B58" w:rsidRPr="00451D60">
              <w:rPr>
                <w:rStyle w:val="normaltextrun"/>
                <w:rFonts w:ascii="Verdana" w:hAnsi="Verdana"/>
                <w:sz w:val="18"/>
                <w:szCs w:val="18"/>
                <w:shd w:val="clear" w:color="auto" w:fill="FFFFFF"/>
              </w:rPr>
              <w:t> £</w:t>
            </w:r>
            <w:r w:rsidR="00590728">
              <w:rPr>
                <w:rStyle w:val="normaltextrun"/>
                <w:rFonts w:ascii="Verdana" w:hAnsi="Verdana"/>
                <w:sz w:val="18"/>
                <w:szCs w:val="18"/>
                <w:shd w:val="clear" w:color="auto" w:fill="FFFFFF"/>
              </w:rPr>
              <w:t>1</w:t>
            </w:r>
            <w:r w:rsidR="003F3B58" w:rsidRPr="00451D60">
              <w:rPr>
                <w:rStyle w:val="normaltextrun"/>
                <w:rFonts w:ascii="Verdana" w:hAnsi="Verdana"/>
                <w:sz w:val="18"/>
                <w:szCs w:val="18"/>
                <w:shd w:val="clear" w:color="auto" w:fill="FFFFFF"/>
              </w:rPr>
              <w:t>5,000,000 for the Group</w:t>
            </w:r>
          </w:p>
        </w:tc>
        <w:tc>
          <w:tcPr>
            <w:tcW w:w="1701" w:type="dxa"/>
            <w:vAlign w:val="center"/>
          </w:tcPr>
          <w:p w14:paraId="285BA037" w14:textId="5D9389E2"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 xml:space="preserve">Approve for recommendation to POL </w:t>
            </w:r>
            <w:r w:rsidR="00CD3FC2">
              <w:rPr>
                <w:rFonts w:ascii="Verdana" w:hAnsi="Verdana"/>
                <w:sz w:val="15"/>
                <w:szCs w:val="15"/>
              </w:rPr>
              <w:t xml:space="preserve">Transformation Committee </w:t>
            </w:r>
          </w:p>
        </w:tc>
        <w:tc>
          <w:tcPr>
            <w:tcW w:w="1559" w:type="dxa"/>
            <w:vAlign w:val="center"/>
          </w:tcPr>
          <w:p w14:paraId="5E1E3532" w14:textId="4CA3D6FB"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477" w:type="dxa"/>
            <w:vAlign w:val="center"/>
          </w:tcPr>
          <w:p w14:paraId="47EBA97D" w14:textId="447B31F3"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w:t>
            </w:r>
          </w:p>
        </w:tc>
        <w:tc>
          <w:tcPr>
            <w:tcW w:w="1723" w:type="dxa"/>
            <w:vAlign w:val="center"/>
          </w:tcPr>
          <w:p w14:paraId="66318B6E" w14:textId="59E41713" w:rsidR="003F3B58" w:rsidRPr="00BC2D08" w:rsidRDefault="003F3B58" w:rsidP="003F3B58">
            <w:pPr>
              <w:jc w:val="center"/>
              <w:rPr>
                <w:sz w:val="15"/>
                <w:szCs w:val="15"/>
              </w:rPr>
            </w:pPr>
            <w:r w:rsidRPr="00BC2D08">
              <w:rPr>
                <w:rFonts w:ascii="Verdana" w:hAnsi="Verdana"/>
                <w:sz w:val="15"/>
                <w:szCs w:val="15"/>
              </w:rPr>
              <w:t>-</w:t>
            </w:r>
          </w:p>
        </w:tc>
        <w:tc>
          <w:tcPr>
            <w:tcW w:w="1851" w:type="dxa"/>
          </w:tcPr>
          <w:p w14:paraId="6AE1D36B" w14:textId="77777777" w:rsidR="00AB213E" w:rsidRDefault="00AB213E" w:rsidP="003F3B58">
            <w:pPr>
              <w:pStyle w:val="ListParagraph"/>
              <w:ind w:left="33"/>
              <w:jc w:val="center"/>
              <w:rPr>
                <w:rFonts w:ascii="Verdana" w:hAnsi="Verdana"/>
                <w:sz w:val="15"/>
                <w:szCs w:val="15"/>
              </w:rPr>
            </w:pPr>
          </w:p>
          <w:p w14:paraId="20A7E667" w14:textId="0971B963" w:rsidR="003F3B58" w:rsidRPr="00BC2D08" w:rsidRDefault="00AB213E" w:rsidP="003F3B58">
            <w:pPr>
              <w:pStyle w:val="ListParagraph"/>
              <w:ind w:left="33"/>
              <w:jc w:val="center"/>
              <w:rPr>
                <w:rFonts w:ascii="Verdana" w:hAnsi="Verdana"/>
                <w:sz w:val="15"/>
                <w:szCs w:val="15"/>
              </w:rPr>
            </w:pPr>
            <w:r>
              <w:rPr>
                <w:rFonts w:ascii="Verdana" w:hAnsi="Verdana"/>
                <w:sz w:val="15"/>
                <w:szCs w:val="15"/>
              </w:rPr>
              <w:t>Approve</w:t>
            </w:r>
          </w:p>
        </w:tc>
        <w:tc>
          <w:tcPr>
            <w:tcW w:w="1851" w:type="dxa"/>
            <w:vAlign w:val="center"/>
          </w:tcPr>
          <w:p w14:paraId="2F076B9B" w14:textId="59EE2901" w:rsidR="003F3B58" w:rsidRPr="00BC2D08" w:rsidRDefault="003F3B58" w:rsidP="003F3B58">
            <w:pPr>
              <w:pStyle w:val="ListParagraph"/>
              <w:ind w:left="33"/>
              <w:jc w:val="center"/>
              <w:rPr>
                <w:rFonts w:ascii="Verdana" w:hAnsi="Verdana"/>
                <w:sz w:val="15"/>
                <w:szCs w:val="15"/>
              </w:rPr>
            </w:pPr>
            <w:r w:rsidRPr="00BC2D08">
              <w:rPr>
                <w:rFonts w:ascii="Verdana" w:hAnsi="Verdana"/>
                <w:sz w:val="15"/>
                <w:szCs w:val="15"/>
              </w:rPr>
              <w:t>Approve</w:t>
            </w:r>
          </w:p>
        </w:tc>
        <w:tc>
          <w:tcPr>
            <w:tcW w:w="1852" w:type="dxa"/>
            <w:vAlign w:val="center"/>
          </w:tcPr>
          <w:p w14:paraId="4AB7ED3A" w14:textId="6B8C6C77" w:rsidR="003F3B58" w:rsidRPr="00BC2D08" w:rsidRDefault="003F3B58" w:rsidP="003F3B58">
            <w:pPr>
              <w:jc w:val="center"/>
              <w:rPr>
                <w:rFonts w:ascii="Verdana" w:hAnsi="Verdana"/>
                <w:sz w:val="15"/>
                <w:szCs w:val="15"/>
              </w:rPr>
            </w:pPr>
            <w:r w:rsidRPr="00BC2D08">
              <w:rPr>
                <w:rFonts w:ascii="Verdana" w:hAnsi="Verdana"/>
                <w:sz w:val="15"/>
                <w:szCs w:val="15"/>
              </w:rPr>
              <w:t>-</w:t>
            </w:r>
          </w:p>
        </w:tc>
        <w:tc>
          <w:tcPr>
            <w:tcW w:w="5704" w:type="dxa"/>
          </w:tcPr>
          <w:p w14:paraId="0D14B4B2" w14:textId="4659CA26" w:rsidR="003F3B58" w:rsidRPr="00BC2D08" w:rsidRDefault="003F3B58" w:rsidP="00CD3FC2">
            <w:pPr>
              <w:rPr>
                <w:rFonts w:ascii="Verdana" w:hAnsi="Verdana"/>
                <w:sz w:val="15"/>
                <w:szCs w:val="15"/>
              </w:rPr>
            </w:pPr>
          </w:p>
        </w:tc>
      </w:tr>
      <w:tr w:rsidR="00195C07" w:rsidRPr="00733988" w14:paraId="263B2D99" w14:textId="77777777" w:rsidTr="00D87A87">
        <w:trPr>
          <w:trHeight w:val="314"/>
        </w:trPr>
        <w:tc>
          <w:tcPr>
            <w:tcW w:w="23106" w:type="dxa"/>
            <w:gridSpan w:val="9"/>
            <w:shd w:val="clear" w:color="auto" w:fill="D0CECE" w:themeFill="background2" w:themeFillShade="E6"/>
          </w:tcPr>
          <w:p w14:paraId="06F5FEC3" w14:textId="6CF0859C" w:rsidR="00195C07" w:rsidRPr="00195C07" w:rsidRDefault="00195C07" w:rsidP="00195C07">
            <w:pPr>
              <w:pStyle w:val="ListParagraph"/>
              <w:numPr>
                <w:ilvl w:val="0"/>
                <w:numId w:val="37"/>
              </w:numPr>
              <w:rPr>
                <w:rFonts w:ascii="Verdana" w:hAnsi="Verdana"/>
                <w:sz w:val="18"/>
                <w:szCs w:val="18"/>
              </w:rPr>
            </w:pPr>
            <w:r w:rsidRPr="00195C07">
              <w:rPr>
                <w:rFonts w:ascii="Verdana" w:hAnsi="Verdana"/>
                <w:b/>
                <w:bCs/>
                <w:sz w:val="18"/>
                <w:szCs w:val="18"/>
              </w:rPr>
              <w:t>Appointments &amp; Senior Remuneration</w:t>
            </w:r>
          </w:p>
        </w:tc>
      </w:tr>
      <w:tr w:rsidR="002E77C3" w:rsidRPr="00733988" w14:paraId="37DDB7CF" w14:textId="77777777" w:rsidTr="002E77C3">
        <w:tc>
          <w:tcPr>
            <w:tcW w:w="5388" w:type="dxa"/>
          </w:tcPr>
          <w:p w14:paraId="4DA58A73" w14:textId="3CC0A2BA" w:rsidR="002E77C3" w:rsidRPr="00293544" w:rsidRDefault="002E77C3" w:rsidP="002E77C3">
            <w:pPr>
              <w:ind w:left="460" w:hanging="460"/>
              <w:rPr>
                <w:rFonts w:ascii="Verdana" w:hAnsi="Verdana"/>
                <w:sz w:val="18"/>
                <w:szCs w:val="18"/>
              </w:rPr>
            </w:pPr>
            <w:r w:rsidRPr="00293544">
              <w:rPr>
                <w:rFonts w:ascii="Verdana" w:hAnsi="Verdana"/>
                <w:sz w:val="18"/>
                <w:szCs w:val="18"/>
              </w:rPr>
              <w:t xml:space="preserve">5.1  Approval of the </w:t>
            </w:r>
            <w:r w:rsidRPr="00BB7140">
              <w:rPr>
                <w:rFonts w:ascii="Verdana" w:hAnsi="Verdana"/>
                <w:sz w:val="18"/>
                <w:szCs w:val="18"/>
              </w:rPr>
              <w:t>recruitment and appointment process for a director</w:t>
            </w:r>
            <w:r w:rsidRPr="00293544">
              <w:rPr>
                <w:rFonts w:ascii="Verdana" w:hAnsi="Verdana"/>
                <w:sz w:val="18"/>
                <w:szCs w:val="18"/>
              </w:rPr>
              <w:t xml:space="preserve"> of the Company including</w:t>
            </w:r>
            <w:r>
              <w:rPr>
                <w:rFonts w:ascii="Verdana" w:hAnsi="Verdana"/>
                <w:sz w:val="18"/>
                <w:szCs w:val="18"/>
              </w:rPr>
              <w:t xml:space="preserve"> </w:t>
            </w:r>
            <w:r w:rsidRPr="00476846">
              <w:rPr>
                <w:rFonts w:ascii="Verdana" w:hAnsi="Verdana"/>
                <w:sz w:val="18"/>
                <w:szCs w:val="18"/>
              </w:rPr>
              <w:t>engagement terms of external search agents for appointments</w:t>
            </w:r>
            <w:r>
              <w:rPr>
                <w:rFonts w:ascii="Verdana" w:hAnsi="Verdana"/>
                <w:sz w:val="18"/>
                <w:szCs w:val="18"/>
              </w:rPr>
              <w:t xml:space="preserve"> and</w:t>
            </w:r>
            <w:r w:rsidRPr="00293544">
              <w:rPr>
                <w:rFonts w:ascii="Verdana" w:hAnsi="Verdana"/>
                <w:sz w:val="18"/>
                <w:szCs w:val="18"/>
              </w:rPr>
              <w:t xml:space="preserve"> formation of interview panel (FD section </w:t>
            </w:r>
            <w:r w:rsidR="007F196A">
              <w:rPr>
                <w:rFonts w:ascii="Verdana" w:hAnsi="Verdana"/>
                <w:sz w:val="18"/>
                <w:szCs w:val="18"/>
              </w:rPr>
              <w:t xml:space="preserve">9 </w:t>
            </w:r>
            <w:r>
              <w:rPr>
                <w:rFonts w:ascii="Verdana" w:hAnsi="Verdana"/>
                <w:sz w:val="18"/>
                <w:szCs w:val="18"/>
              </w:rPr>
              <w:t>)</w:t>
            </w:r>
          </w:p>
        </w:tc>
        <w:tc>
          <w:tcPr>
            <w:tcW w:w="1701" w:type="dxa"/>
            <w:vAlign w:val="center"/>
          </w:tcPr>
          <w:p w14:paraId="1B5DF65B" w14:textId="01C74109"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559" w:type="dxa"/>
            <w:vAlign w:val="center"/>
          </w:tcPr>
          <w:p w14:paraId="7EC0BC06" w14:textId="3FB89CD8"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477" w:type="dxa"/>
            <w:vAlign w:val="center"/>
          </w:tcPr>
          <w:p w14:paraId="42FA3082" w14:textId="121D9CFF"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recommendation-on to the  Shareholder</w:t>
            </w:r>
          </w:p>
        </w:tc>
        <w:tc>
          <w:tcPr>
            <w:tcW w:w="1723" w:type="dxa"/>
            <w:vAlign w:val="center"/>
          </w:tcPr>
          <w:p w14:paraId="5F4B8387" w14:textId="17F09C66" w:rsidR="002E77C3" w:rsidRPr="00BC2D08" w:rsidRDefault="002E77C3" w:rsidP="002E77C3">
            <w:pPr>
              <w:pStyle w:val="ListParagraph"/>
              <w:ind w:left="34"/>
              <w:jc w:val="center"/>
              <w:rPr>
                <w:rFonts w:ascii="Verdana" w:hAnsi="Verdana"/>
                <w:sz w:val="15"/>
                <w:szCs w:val="15"/>
              </w:rPr>
            </w:pPr>
            <w:r w:rsidRPr="00BC2D08">
              <w:rPr>
                <w:rFonts w:ascii="Verdana" w:hAnsi="Verdana"/>
                <w:b/>
                <w:sz w:val="15"/>
                <w:szCs w:val="15"/>
              </w:rPr>
              <w:t>-</w:t>
            </w:r>
          </w:p>
        </w:tc>
        <w:tc>
          <w:tcPr>
            <w:tcW w:w="1851" w:type="dxa"/>
            <w:vAlign w:val="center"/>
          </w:tcPr>
          <w:p w14:paraId="612BD00E" w14:textId="4D817BF4" w:rsidR="002E77C3" w:rsidRPr="00BC2D08" w:rsidRDefault="002E77C3" w:rsidP="002E77C3">
            <w:pPr>
              <w:pStyle w:val="ListParagraph"/>
              <w:ind w:left="34"/>
              <w:jc w:val="center"/>
              <w:rPr>
                <w:rFonts w:ascii="Verdana" w:hAnsi="Verdana"/>
                <w:sz w:val="15"/>
                <w:szCs w:val="15"/>
              </w:rPr>
            </w:pPr>
            <w:r w:rsidRPr="00063EC0">
              <w:rPr>
                <w:rFonts w:ascii="Verdana" w:hAnsi="Verdana"/>
                <w:color w:val="000000" w:themeColor="text1"/>
                <w:sz w:val="15"/>
                <w:szCs w:val="15"/>
              </w:rPr>
              <w:t>-</w:t>
            </w:r>
          </w:p>
        </w:tc>
        <w:tc>
          <w:tcPr>
            <w:tcW w:w="1851" w:type="dxa"/>
            <w:vAlign w:val="center"/>
          </w:tcPr>
          <w:p w14:paraId="5FBBDE4B" w14:textId="332658DC" w:rsidR="002E77C3" w:rsidRPr="00BC2D08" w:rsidRDefault="002E77C3" w:rsidP="002E77C3">
            <w:pPr>
              <w:pStyle w:val="ListParagraph"/>
              <w:ind w:left="34"/>
              <w:jc w:val="center"/>
              <w:rPr>
                <w:rFonts w:ascii="Verdana" w:hAnsi="Verdana"/>
                <w:color w:val="00B050"/>
                <w:sz w:val="15"/>
                <w:szCs w:val="15"/>
              </w:rPr>
            </w:pPr>
            <w:r w:rsidRPr="00BC2D08">
              <w:rPr>
                <w:rFonts w:ascii="Verdana" w:hAnsi="Verdana"/>
                <w:sz w:val="15"/>
                <w:szCs w:val="15"/>
              </w:rPr>
              <w:t>-</w:t>
            </w:r>
          </w:p>
        </w:tc>
        <w:tc>
          <w:tcPr>
            <w:tcW w:w="1852" w:type="dxa"/>
            <w:vAlign w:val="center"/>
          </w:tcPr>
          <w:p w14:paraId="454BC63A" w14:textId="0929441F" w:rsidR="002E77C3" w:rsidRPr="00BC2D08" w:rsidRDefault="002E77C3" w:rsidP="002E77C3">
            <w:pPr>
              <w:pStyle w:val="ListParagraph"/>
              <w:ind w:left="33"/>
              <w:jc w:val="center"/>
              <w:rPr>
                <w:rFonts w:ascii="Verdana" w:hAnsi="Verdana"/>
                <w:color w:val="00B050"/>
                <w:sz w:val="15"/>
                <w:szCs w:val="15"/>
              </w:rPr>
            </w:pPr>
            <w:r w:rsidRPr="00BC2D08">
              <w:rPr>
                <w:rFonts w:ascii="Verdana" w:hAnsi="Verdana"/>
                <w:sz w:val="15"/>
                <w:szCs w:val="15"/>
              </w:rPr>
              <w:t>Approve</w:t>
            </w:r>
          </w:p>
        </w:tc>
        <w:tc>
          <w:tcPr>
            <w:tcW w:w="5704" w:type="dxa"/>
          </w:tcPr>
          <w:p w14:paraId="070076E4" w14:textId="35CAC160"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The interview panel makes a recommendation of appointment at the end of the recruitment process to the Shareholder. Appointment then requires approvals from POL Nominations and Remuneration Committees and Board. </w:t>
            </w:r>
          </w:p>
        </w:tc>
      </w:tr>
      <w:tr w:rsidR="002E77C3" w:rsidRPr="00733988" w14:paraId="32C06EB9" w14:textId="6DDC2509" w:rsidTr="002E77C3">
        <w:tc>
          <w:tcPr>
            <w:tcW w:w="5388" w:type="dxa"/>
          </w:tcPr>
          <w:p w14:paraId="7497D071" w14:textId="452FA04C" w:rsidR="002E77C3" w:rsidRPr="00293544" w:rsidRDefault="002E77C3" w:rsidP="002E77C3">
            <w:pPr>
              <w:ind w:left="460" w:hanging="460"/>
              <w:rPr>
                <w:rFonts w:ascii="Verdana" w:hAnsi="Verdana"/>
                <w:b/>
                <w:sz w:val="18"/>
                <w:szCs w:val="18"/>
              </w:rPr>
            </w:pPr>
            <w:r w:rsidRPr="00293544">
              <w:rPr>
                <w:rFonts w:ascii="Verdana" w:hAnsi="Verdana"/>
                <w:sz w:val="18"/>
                <w:szCs w:val="18"/>
              </w:rPr>
              <w:t>5.2</w:t>
            </w:r>
            <w:r w:rsidRPr="00BB7140">
              <w:rPr>
                <w:rFonts w:ascii="Verdana" w:hAnsi="Verdana"/>
                <w:sz w:val="18"/>
                <w:szCs w:val="18"/>
              </w:rPr>
              <w:t xml:space="preserve"> </w:t>
            </w:r>
            <w:r w:rsidRPr="00293544">
              <w:rPr>
                <w:rFonts w:ascii="Verdana" w:hAnsi="Verdana"/>
                <w:sz w:val="18"/>
                <w:szCs w:val="18"/>
              </w:rPr>
              <w:t xml:space="preserve"> </w:t>
            </w:r>
            <w:r w:rsidRPr="00BB7140">
              <w:rPr>
                <w:rFonts w:ascii="Verdana" w:hAnsi="Verdana"/>
                <w:sz w:val="18"/>
                <w:szCs w:val="18"/>
              </w:rPr>
              <w:t xml:space="preserve">Appointment, reappointment or removal from office of any director </w:t>
            </w:r>
            <w:r w:rsidRPr="00293544">
              <w:rPr>
                <w:rFonts w:ascii="Verdana" w:hAnsi="Verdana"/>
                <w:sz w:val="18"/>
                <w:szCs w:val="18"/>
              </w:rPr>
              <w:t>including</w:t>
            </w:r>
            <w:r>
              <w:rPr>
                <w:rFonts w:ascii="Verdana" w:hAnsi="Verdana"/>
                <w:sz w:val="18"/>
                <w:szCs w:val="18"/>
              </w:rPr>
              <w:t xml:space="preserve">  the chief executive,</w:t>
            </w:r>
            <w:r w:rsidRPr="00293544">
              <w:rPr>
                <w:rFonts w:ascii="Verdana" w:hAnsi="Verdana"/>
                <w:sz w:val="18"/>
                <w:szCs w:val="18"/>
              </w:rPr>
              <w:t xml:space="preserve"> interim directors</w:t>
            </w:r>
            <w:r>
              <w:rPr>
                <w:rFonts w:ascii="Verdana" w:hAnsi="Verdana"/>
                <w:sz w:val="18"/>
                <w:szCs w:val="18"/>
              </w:rPr>
              <w:t xml:space="preserve"> and alternate directors who are not already directors of the Company</w:t>
            </w:r>
            <w:r w:rsidRPr="00293544">
              <w:rPr>
                <w:rFonts w:ascii="Verdana" w:hAnsi="Verdana"/>
                <w:sz w:val="18"/>
                <w:szCs w:val="18"/>
              </w:rPr>
              <w:t xml:space="preserve"> (Article 8.1 (A) (i)</w:t>
            </w:r>
            <w:r>
              <w:rPr>
                <w:rFonts w:ascii="Verdana" w:hAnsi="Verdana"/>
                <w:sz w:val="18"/>
                <w:szCs w:val="18"/>
              </w:rPr>
              <w:t xml:space="preserve"> &amp; (ii) , (C), 40</w:t>
            </w:r>
            <w:r w:rsidRPr="00293544">
              <w:rPr>
                <w:rFonts w:ascii="Verdana" w:hAnsi="Verdana"/>
                <w:sz w:val="18"/>
                <w:szCs w:val="18"/>
              </w:rPr>
              <w:t>,</w:t>
            </w:r>
            <w:r>
              <w:rPr>
                <w:rFonts w:ascii="Verdana" w:hAnsi="Verdana"/>
                <w:sz w:val="18"/>
                <w:szCs w:val="18"/>
              </w:rPr>
              <w:t xml:space="preserve"> 41, 53,</w:t>
            </w:r>
            <w:r w:rsidRPr="00293544">
              <w:rPr>
                <w:rFonts w:ascii="Verdana" w:hAnsi="Verdana"/>
                <w:sz w:val="18"/>
                <w:szCs w:val="18"/>
              </w:rPr>
              <w:t xml:space="preserve"> FD section </w:t>
            </w:r>
            <w:r w:rsidR="007F196A">
              <w:rPr>
                <w:rFonts w:ascii="Verdana" w:hAnsi="Verdana"/>
                <w:sz w:val="18"/>
                <w:szCs w:val="18"/>
              </w:rPr>
              <w:t>9</w:t>
            </w:r>
            <w:r w:rsidRPr="00293544">
              <w:rPr>
                <w:rFonts w:ascii="Verdana" w:hAnsi="Verdana"/>
                <w:sz w:val="18"/>
                <w:szCs w:val="18"/>
              </w:rPr>
              <w:t xml:space="preserve">) </w:t>
            </w:r>
          </w:p>
        </w:tc>
        <w:tc>
          <w:tcPr>
            <w:tcW w:w="1701" w:type="dxa"/>
            <w:vAlign w:val="center"/>
          </w:tcPr>
          <w:p w14:paraId="3E4FA28A" w14:textId="2AE966BC" w:rsidR="002E77C3" w:rsidRPr="00BC2D08" w:rsidRDefault="002E77C3" w:rsidP="002E77C3">
            <w:pPr>
              <w:pStyle w:val="ListParagraph"/>
              <w:ind w:left="0"/>
              <w:jc w:val="center"/>
              <w:rPr>
                <w:rFonts w:ascii="Verdana" w:hAnsi="Verdana"/>
                <w:b/>
                <w:sz w:val="15"/>
                <w:szCs w:val="15"/>
              </w:rPr>
            </w:pPr>
            <w:r w:rsidRPr="00BC2D08">
              <w:rPr>
                <w:rFonts w:ascii="Verdana" w:hAnsi="Verdana"/>
                <w:b/>
                <w:sz w:val="15"/>
                <w:szCs w:val="15"/>
              </w:rPr>
              <w:t>-</w:t>
            </w:r>
          </w:p>
        </w:tc>
        <w:tc>
          <w:tcPr>
            <w:tcW w:w="1559" w:type="dxa"/>
            <w:vAlign w:val="center"/>
          </w:tcPr>
          <w:p w14:paraId="56E15A87" w14:textId="391140A6"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477" w:type="dxa"/>
            <w:vAlign w:val="center"/>
          </w:tcPr>
          <w:p w14:paraId="33CE8B27" w14:textId="68F34D3C"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 xml:space="preserve">Approve for recommendation-on to </w:t>
            </w:r>
            <w:r>
              <w:rPr>
                <w:rFonts w:ascii="Verdana" w:hAnsi="Verdana"/>
                <w:sz w:val="15"/>
                <w:szCs w:val="15"/>
              </w:rPr>
              <w:t xml:space="preserve">the Shareholder. </w:t>
            </w:r>
          </w:p>
        </w:tc>
        <w:tc>
          <w:tcPr>
            <w:tcW w:w="1723" w:type="dxa"/>
            <w:vAlign w:val="center"/>
          </w:tcPr>
          <w:p w14:paraId="32C659C0" w14:textId="58E6D5CE" w:rsidR="002E77C3" w:rsidRPr="00BC2D08" w:rsidRDefault="002E77C3" w:rsidP="002E77C3">
            <w:pPr>
              <w:pStyle w:val="ListParagraph"/>
              <w:ind w:left="34"/>
              <w:jc w:val="center"/>
              <w:rPr>
                <w:rFonts w:ascii="Verdana" w:hAnsi="Verdana"/>
                <w:sz w:val="15"/>
                <w:szCs w:val="15"/>
              </w:rPr>
            </w:pPr>
          </w:p>
        </w:tc>
        <w:tc>
          <w:tcPr>
            <w:tcW w:w="1851" w:type="dxa"/>
            <w:vAlign w:val="center"/>
          </w:tcPr>
          <w:p w14:paraId="21E826E5" w14:textId="7B7D2BFC" w:rsidR="002E77C3" w:rsidRPr="00BC2D08" w:rsidRDefault="002E77C3" w:rsidP="002E77C3">
            <w:pPr>
              <w:pStyle w:val="ListParagraph"/>
              <w:ind w:left="34"/>
              <w:jc w:val="center"/>
              <w:rPr>
                <w:rFonts w:ascii="Verdana" w:hAnsi="Verdana"/>
                <w:sz w:val="15"/>
                <w:szCs w:val="15"/>
              </w:rPr>
            </w:pPr>
            <w:r w:rsidRPr="00063EC0">
              <w:rPr>
                <w:rFonts w:ascii="Verdana" w:hAnsi="Verdana"/>
                <w:color w:val="000000" w:themeColor="text1"/>
                <w:sz w:val="15"/>
                <w:szCs w:val="15"/>
              </w:rPr>
              <w:t>-</w:t>
            </w:r>
          </w:p>
        </w:tc>
        <w:tc>
          <w:tcPr>
            <w:tcW w:w="1851" w:type="dxa"/>
            <w:vAlign w:val="center"/>
          </w:tcPr>
          <w:p w14:paraId="48E61425" w14:textId="766BD570" w:rsidR="002E77C3" w:rsidRPr="00BC2D08" w:rsidRDefault="002E77C3" w:rsidP="002E77C3">
            <w:pPr>
              <w:pStyle w:val="ListParagraph"/>
              <w:ind w:left="34"/>
              <w:jc w:val="center"/>
              <w:rPr>
                <w:rFonts w:ascii="Verdana" w:hAnsi="Verdana"/>
                <w:b/>
                <w:color w:val="00B050"/>
                <w:sz w:val="15"/>
                <w:szCs w:val="15"/>
              </w:rPr>
            </w:pPr>
            <w:r w:rsidRPr="00BC2D08">
              <w:rPr>
                <w:rFonts w:ascii="Verdana" w:hAnsi="Verdana"/>
                <w:sz w:val="15"/>
                <w:szCs w:val="15"/>
              </w:rPr>
              <w:t>Approval subject to Shareholder consent</w:t>
            </w:r>
          </w:p>
        </w:tc>
        <w:tc>
          <w:tcPr>
            <w:tcW w:w="1852" w:type="dxa"/>
            <w:vAlign w:val="center"/>
          </w:tcPr>
          <w:p w14:paraId="204B2FF5" w14:textId="27853869"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Consent</w:t>
            </w:r>
          </w:p>
        </w:tc>
        <w:tc>
          <w:tcPr>
            <w:tcW w:w="5704" w:type="dxa"/>
          </w:tcPr>
          <w:p w14:paraId="4467B174" w14:textId="01336FF6" w:rsidR="002E77C3" w:rsidRPr="00BC2D08" w:rsidRDefault="002E77C3" w:rsidP="002E77C3">
            <w:pPr>
              <w:pStyle w:val="Body1"/>
              <w:spacing w:after="0" w:line="240" w:lineRule="auto"/>
              <w:ind w:left="0"/>
              <w:jc w:val="left"/>
              <w:rPr>
                <w:rFonts w:ascii="Verdana" w:hAnsi="Verdana"/>
                <w:sz w:val="15"/>
                <w:szCs w:val="15"/>
              </w:rPr>
            </w:pPr>
            <w:r w:rsidRPr="00BC2D08">
              <w:rPr>
                <w:rFonts w:ascii="Verdana" w:hAnsi="Verdana"/>
                <w:sz w:val="15"/>
                <w:szCs w:val="15"/>
              </w:rPr>
              <w:t>Shareholder to be informed not less than ten Business Days before the proposed date of appointment of a director including re-appointment (Article 38).</w:t>
            </w:r>
          </w:p>
          <w:p w14:paraId="3185ABE7" w14:textId="67A9F482" w:rsidR="002E77C3" w:rsidRPr="00BC2D08" w:rsidRDefault="002E77C3" w:rsidP="002E77C3">
            <w:pPr>
              <w:pStyle w:val="Body1"/>
              <w:spacing w:after="0" w:line="240" w:lineRule="auto"/>
              <w:ind w:left="0"/>
              <w:jc w:val="left"/>
              <w:rPr>
                <w:rFonts w:ascii="Verdana" w:hAnsi="Verdana"/>
                <w:sz w:val="15"/>
                <w:szCs w:val="15"/>
              </w:rPr>
            </w:pPr>
            <w:r w:rsidRPr="00BC2D08">
              <w:rPr>
                <w:rFonts w:ascii="Verdana" w:hAnsi="Verdana"/>
                <w:sz w:val="15"/>
                <w:szCs w:val="15"/>
              </w:rPr>
              <w:t xml:space="preserve">The Shareholder shall appoint one senior UK Government official as the representative director to the POL Board (FD section </w:t>
            </w:r>
            <w:r w:rsidR="007F196A">
              <w:rPr>
                <w:rFonts w:ascii="Verdana" w:hAnsi="Verdana"/>
                <w:sz w:val="15"/>
                <w:szCs w:val="15"/>
              </w:rPr>
              <w:t xml:space="preserve">9 </w:t>
            </w:r>
            <w:r w:rsidRPr="00BC2D08">
              <w:rPr>
                <w:rFonts w:ascii="Verdana" w:hAnsi="Verdana"/>
                <w:sz w:val="15"/>
                <w:szCs w:val="15"/>
              </w:rPr>
              <w:t xml:space="preserve">). </w:t>
            </w:r>
          </w:p>
        </w:tc>
      </w:tr>
      <w:tr w:rsidR="002E77C3" w:rsidRPr="00733988" w14:paraId="76436AAE" w14:textId="77777777" w:rsidTr="002E77C3">
        <w:trPr>
          <w:trHeight w:val="878"/>
        </w:trPr>
        <w:tc>
          <w:tcPr>
            <w:tcW w:w="5388" w:type="dxa"/>
          </w:tcPr>
          <w:p w14:paraId="4E5A2041" w14:textId="7E160786" w:rsidR="002E77C3" w:rsidRPr="00293544" w:rsidRDefault="002E77C3" w:rsidP="002E77C3">
            <w:pPr>
              <w:ind w:left="460" w:hanging="426"/>
              <w:rPr>
                <w:rFonts w:ascii="Verdana" w:hAnsi="Verdana"/>
                <w:sz w:val="18"/>
                <w:szCs w:val="18"/>
              </w:rPr>
            </w:pPr>
            <w:r>
              <w:rPr>
                <w:rFonts w:ascii="Verdana" w:hAnsi="Verdana"/>
                <w:sz w:val="18"/>
                <w:szCs w:val="18"/>
              </w:rPr>
              <w:t>5.3</w:t>
            </w:r>
            <w:r w:rsidRPr="002707CF">
              <w:rPr>
                <w:rFonts w:ascii="Verdana" w:hAnsi="Verdana"/>
                <w:sz w:val="18"/>
                <w:szCs w:val="18"/>
              </w:rPr>
              <w:t xml:space="preserve"> </w:t>
            </w:r>
            <w:r w:rsidRPr="00293544">
              <w:rPr>
                <w:rFonts w:ascii="Verdana" w:hAnsi="Verdana"/>
                <w:sz w:val="18"/>
                <w:szCs w:val="18"/>
              </w:rPr>
              <w:t xml:space="preserve"> Appointment, reappointment or removal of any person as </w:t>
            </w:r>
            <w:r w:rsidRPr="002707CF">
              <w:rPr>
                <w:rFonts w:ascii="Verdana" w:hAnsi="Verdana"/>
                <w:sz w:val="18"/>
                <w:szCs w:val="18"/>
              </w:rPr>
              <w:t>Chair</w:t>
            </w:r>
            <w:r w:rsidRPr="00293544">
              <w:rPr>
                <w:rFonts w:ascii="Verdana" w:hAnsi="Verdana"/>
                <w:sz w:val="18"/>
                <w:szCs w:val="18"/>
              </w:rPr>
              <w:t xml:space="preserve"> of the Company (Article 8.1 (A) (iii), 42 (A), FD section </w:t>
            </w:r>
            <w:r w:rsidR="007F196A">
              <w:rPr>
                <w:rFonts w:ascii="Verdana" w:hAnsi="Verdana"/>
                <w:sz w:val="18"/>
                <w:szCs w:val="18"/>
              </w:rPr>
              <w:t>9</w:t>
            </w:r>
            <w:r w:rsidRPr="00293544">
              <w:rPr>
                <w:rFonts w:ascii="Verdana" w:hAnsi="Verdana"/>
                <w:sz w:val="18"/>
                <w:szCs w:val="18"/>
              </w:rPr>
              <w:t>)</w:t>
            </w:r>
          </w:p>
        </w:tc>
        <w:tc>
          <w:tcPr>
            <w:tcW w:w="1701" w:type="dxa"/>
            <w:vAlign w:val="center"/>
          </w:tcPr>
          <w:p w14:paraId="72944829" w14:textId="690E8070" w:rsidR="002E77C3" w:rsidRPr="00BC2D08" w:rsidRDefault="002E77C3" w:rsidP="002E77C3">
            <w:pPr>
              <w:pStyle w:val="ListParagraph"/>
              <w:ind w:left="34"/>
              <w:jc w:val="center"/>
              <w:rPr>
                <w:rFonts w:ascii="Verdana" w:hAnsi="Verdana"/>
                <w:b/>
                <w:sz w:val="15"/>
                <w:szCs w:val="15"/>
              </w:rPr>
            </w:pPr>
            <w:r w:rsidRPr="00BC2D08">
              <w:rPr>
                <w:rFonts w:ascii="Verdana" w:hAnsi="Verdana"/>
                <w:b/>
                <w:sz w:val="15"/>
                <w:szCs w:val="15"/>
              </w:rPr>
              <w:t>-</w:t>
            </w:r>
          </w:p>
        </w:tc>
        <w:tc>
          <w:tcPr>
            <w:tcW w:w="1559" w:type="dxa"/>
            <w:vAlign w:val="center"/>
          </w:tcPr>
          <w:p w14:paraId="3DA131F9" w14:textId="6AA1D3F0"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477" w:type="dxa"/>
            <w:vAlign w:val="center"/>
          </w:tcPr>
          <w:p w14:paraId="6C06F8A4" w14:textId="55024C39"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Approve for recommendation to POL Board</w:t>
            </w:r>
          </w:p>
        </w:tc>
        <w:tc>
          <w:tcPr>
            <w:tcW w:w="1723" w:type="dxa"/>
            <w:vAlign w:val="center"/>
          </w:tcPr>
          <w:p w14:paraId="5AFC9A26" w14:textId="2AA525F7" w:rsidR="002E77C3" w:rsidRPr="00BC2D08" w:rsidRDefault="002E77C3" w:rsidP="002E77C3">
            <w:pPr>
              <w:pStyle w:val="ListParagraph"/>
              <w:ind w:left="34"/>
              <w:jc w:val="center"/>
              <w:rPr>
                <w:rFonts w:ascii="Verdana" w:hAnsi="Verdana"/>
                <w:sz w:val="15"/>
                <w:szCs w:val="15"/>
              </w:rPr>
            </w:pPr>
          </w:p>
        </w:tc>
        <w:tc>
          <w:tcPr>
            <w:tcW w:w="1851" w:type="dxa"/>
            <w:vAlign w:val="center"/>
          </w:tcPr>
          <w:p w14:paraId="4063E748" w14:textId="0C0D556A" w:rsidR="002E77C3" w:rsidRPr="00BC2D08" w:rsidRDefault="002E77C3" w:rsidP="002E77C3">
            <w:pPr>
              <w:pStyle w:val="ListParagraph"/>
              <w:ind w:left="34"/>
              <w:jc w:val="center"/>
              <w:rPr>
                <w:rFonts w:ascii="Verdana" w:hAnsi="Verdana"/>
                <w:sz w:val="15"/>
                <w:szCs w:val="15"/>
              </w:rPr>
            </w:pPr>
            <w:r w:rsidRPr="00063EC0">
              <w:rPr>
                <w:rFonts w:ascii="Verdana" w:hAnsi="Verdana"/>
                <w:color w:val="000000" w:themeColor="text1"/>
                <w:sz w:val="15"/>
                <w:szCs w:val="15"/>
              </w:rPr>
              <w:t>-</w:t>
            </w:r>
          </w:p>
        </w:tc>
        <w:tc>
          <w:tcPr>
            <w:tcW w:w="1851" w:type="dxa"/>
            <w:vAlign w:val="center"/>
          </w:tcPr>
          <w:p w14:paraId="0A874595" w14:textId="01B60ED6"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 for recommendation  to Shareholder</w:t>
            </w:r>
          </w:p>
        </w:tc>
        <w:tc>
          <w:tcPr>
            <w:tcW w:w="1852" w:type="dxa"/>
            <w:vAlign w:val="center"/>
          </w:tcPr>
          <w:p w14:paraId="028513BD" w14:textId="7E1B11B1"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 xml:space="preserve"> Approve </w:t>
            </w:r>
          </w:p>
        </w:tc>
        <w:tc>
          <w:tcPr>
            <w:tcW w:w="5704" w:type="dxa"/>
          </w:tcPr>
          <w:p w14:paraId="2C69DE9E" w14:textId="2E2B99E4"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The Shareholder shall appoint the Chair of the POL Board (FD section </w:t>
            </w:r>
            <w:r w:rsidR="007F196A">
              <w:rPr>
                <w:rFonts w:ascii="Verdana" w:hAnsi="Verdana"/>
                <w:sz w:val="15"/>
                <w:szCs w:val="15"/>
              </w:rPr>
              <w:t xml:space="preserve">9 </w:t>
            </w:r>
            <w:r w:rsidRPr="00BC2D08">
              <w:rPr>
                <w:rFonts w:ascii="Verdana" w:hAnsi="Verdana"/>
                <w:sz w:val="15"/>
                <w:szCs w:val="15"/>
              </w:rPr>
              <w:t>).</w:t>
            </w:r>
          </w:p>
          <w:p w14:paraId="4652EC63" w14:textId="4A101613"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This appointment is a public appointment and must follow the rules set out in the </w:t>
            </w:r>
            <w:r w:rsidRPr="00BC2D08">
              <w:rPr>
                <w:rFonts w:ascii="Verdana" w:hAnsi="Verdana"/>
                <w:i/>
                <w:sz w:val="15"/>
                <w:szCs w:val="15"/>
              </w:rPr>
              <w:t>Governance Code on Public Appointments</w:t>
            </w:r>
            <w:r w:rsidRPr="00BC2D08">
              <w:rPr>
                <w:rFonts w:ascii="Verdana" w:hAnsi="Verdana"/>
                <w:sz w:val="15"/>
                <w:szCs w:val="15"/>
              </w:rPr>
              <w:t>.</w:t>
            </w:r>
          </w:p>
        </w:tc>
      </w:tr>
      <w:tr w:rsidR="002E77C3" w:rsidRPr="00733988" w14:paraId="67FC7A18" w14:textId="77777777" w:rsidTr="002E77C3">
        <w:tc>
          <w:tcPr>
            <w:tcW w:w="5388" w:type="dxa"/>
          </w:tcPr>
          <w:p w14:paraId="5EC212E1" w14:textId="59BB7D31" w:rsidR="002E77C3" w:rsidRPr="002707CF" w:rsidRDefault="002E77C3" w:rsidP="002E77C3">
            <w:pPr>
              <w:pStyle w:val="ListParagraph"/>
              <w:numPr>
                <w:ilvl w:val="1"/>
                <w:numId w:val="31"/>
              </w:numPr>
              <w:tabs>
                <w:tab w:val="left" w:pos="460"/>
              </w:tabs>
              <w:ind w:left="459" w:hanging="459"/>
              <w:rPr>
                <w:rFonts w:ascii="Verdana" w:hAnsi="Verdana"/>
                <w:sz w:val="18"/>
                <w:szCs w:val="18"/>
              </w:rPr>
            </w:pPr>
            <w:r w:rsidRPr="002707CF">
              <w:rPr>
                <w:rFonts w:ascii="Verdana" w:hAnsi="Verdana"/>
                <w:sz w:val="18"/>
                <w:szCs w:val="18"/>
              </w:rPr>
              <w:t xml:space="preserve">Any action taken by the company or the Board (including any appointment, removal or re-designation) which would have the effect that the Board ceased to include directors appointed to the post of Chair, chief executive and finance director (or directors carrying out the general functions denoted by such posts) </w:t>
            </w:r>
            <w:r w:rsidRPr="00580805">
              <w:rPr>
                <w:rFonts w:ascii="Verdana" w:hAnsi="Verdana"/>
                <w:sz w:val="18"/>
                <w:szCs w:val="18"/>
              </w:rPr>
              <w:t>(Article 8.1 A (D))</w:t>
            </w:r>
          </w:p>
        </w:tc>
        <w:tc>
          <w:tcPr>
            <w:tcW w:w="1701" w:type="dxa"/>
            <w:vAlign w:val="center"/>
          </w:tcPr>
          <w:p w14:paraId="565B355A" w14:textId="19E3F305"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b/>
                <w:sz w:val="15"/>
                <w:szCs w:val="15"/>
              </w:rPr>
              <w:t>-</w:t>
            </w:r>
          </w:p>
        </w:tc>
        <w:tc>
          <w:tcPr>
            <w:tcW w:w="1559" w:type="dxa"/>
            <w:vAlign w:val="center"/>
          </w:tcPr>
          <w:p w14:paraId="041AA1F4" w14:textId="58EEBDBD"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w:t>
            </w:r>
          </w:p>
        </w:tc>
        <w:tc>
          <w:tcPr>
            <w:tcW w:w="1477" w:type="dxa"/>
            <w:vAlign w:val="center"/>
          </w:tcPr>
          <w:p w14:paraId="0CC3C278" w14:textId="17EC7823"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w:t>
            </w:r>
          </w:p>
        </w:tc>
        <w:tc>
          <w:tcPr>
            <w:tcW w:w="1723" w:type="dxa"/>
            <w:vAlign w:val="center"/>
          </w:tcPr>
          <w:p w14:paraId="4EB9498D" w14:textId="77777777" w:rsidR="002E77C3" w:rsidRPr="00BC2D08" w:rsidRDefault="002E77C3" w:rsidP="002E77C3">
            <w:pPr>
              <w:pStyle w:val="ListParagraph"/>
              <w:ind w:left="33"/>
              <w:jc w:val="center"/>
              <w:rPr>
                <w:rFonts w:ascii="Verdana" w:hAnsi="Verdana"/>
                <w:sz w:val="15"/>
                <w:szCs w:val="15"/>
              </w:rPr>
            </w:pPr>
          </w:p>
          <w:p w14:paraId="058AF49E" w14:textId="2F06BE64"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 for recommendation to POL Board</w:t>
            </w:r>
          </w:p>
        </w:tc>
        <w:tc>
          <w:tcPr>
            <w:tcW w:w="1851" w:type="dxa"/>
            <w:vAlign w:val="center"/>
          </w:tcPr>
          <w:p w14:paraId="0BA63E43" w14:textId="76928884" w:rsidR="002E77C3" w:rsidRPr="00BC2D08" w:rsidRDefault="002E77C3" w:rsidP="002E77C3">
            <w:pPr>
              <w:pStyle w:val="ListParagraph"/>
              <w:ind w:left="34"/>
              <w:jc w:val="center"/>
              <w:rPr>
                <w:rFonts w:ascii="Verdana" w:hAnsi="Verdana"/>
                <w:sz w:val="15"/>
                <w:szCs w:val="15"/>
              </w:rPr>
            </w:pPr>
            <w:r w:rsidRPr="00063EC0">
              <w:rPr>
                <w:rFonts w:ascii="Verdana" w:hAnsi="Verdana"/>
                <w:color w:val="000000" w:themeColor="text1"/>
                <w:sz w:val="15"/>
                <w:szCs w:val="15"/>
              </w:rPr>
              <w:t>-</w:t>
            </w:r>
          </w:p>
        </w:tc>
        <w:tc>
          <w:tcPr>
            <w:tcW w:w="1851" w:type="dxa"/>
            <w:vAlign w:val="center"/>
          </w:tcPr>
          <w:p w14:paraId="4D6FC576" w14:textId="00FD2CA4"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 subject to Shareholder consent</w:t>
            </w:r>
          </w:p>
        </w:tc>
        <w:tc>
          <w:tcPr>
            <w:tcW w:w="1852" w:type="dxa"/>
            <w:vAlign w:val="center"/>
          </w:tcPr>
          <w:p w14:paraId="53F714D6" w14:textId="69FE3694"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Consent</w:t>
            </w:r>
          </w:p>
        </w:tc>
        <w:tc>
          <w:tcPr>
            <w:tcW w:w="5704" w:type="dxa"/>
          </w:tcPr>
          <w:p w14:paraId="48E72ED5" w14:textId="2C68594A" w:rsidR="002E77C3" w:rsidRPr="00BC2D08" w:rsidRDefault="002E77C3" w:rsidP="002E77C3">
            <w:pPr>
              <w:pStyle w:val="ListParagraph"/>
              <w:ind w:left="33"/>
              <w:rPr>
                <w:rFonts w:ascii="Verdana" w:hAnsi="Verdana"/>
                <w:b/>
                <w:sz w:val="15"/>
                <w:szCs w:val="15"/>
              </w:rPr>
            </w:pPr>
          </w:p>
        </w:tc>
      </w:tr>
      <w:tr w:rsidR="002E77C3" w:rsidRPr="00733988" w14:paraId="718CBEE4" w14:textId="77777777" w:rsidTr="002E77C3">
        <w:tc>
          <w:tcPr>
            <w:tcW w:w="5388" w:type="dxa"/>
          </w:tcPr>
          <w:p w14:paraId="0DC2BB57" w14:textId="1F193E78" w:rsidR="002E77C3" w:rsidRPr="002707CF" w:rsidRDefault="000E2A31" w:rsidP="000E2A31">
            <w:pPr>
              <w:pStyle w:val="roman2"/>
              <w:numPr>
                <w:ilvl w:val="0"/>
                <w:numId w:val="0"/>
              </w:numPr>
              <w:spacing w:after="0" w:line="240" w:lineRule="auto"/>
              <w:ind w:left="462" w:hanging="462"/>
              <w:jc w:val="left"/>
              <w:rPr>
                <w:rFonts w:ascii="Verdana" w:hAnsi="Verdana"/>
                <w:color w:val="FF0000"/>
                <w:sz w:val="18"/>
                <w:szCs w:val="18"/>
              </w:rPr>
            </w:pPr>
            <w:bookmarkStart w:id="2" w:name="_Ref344215"/>
            <w:r>
              <w:rPr>
                <w:rFonts w:ascii="Verdana" w:hAnsi="Verdana"/>
                <w:sz w:val="18"/>
                <w:szCs w:val="18"/>
              </w:rPr>
              <w:t>5.</w:t>
            </w:r>
            <w:r w:rsidR="00BA558E">
              <w:rPr>
                <w:rFonts w:ascii="Verdana" w:hAnsi="Verdana"/>
                <w:sz w:val="18"/>
                <w:szCs w:val="18"/>
              </w:rPr>
              <w:t>5</w:t>
            </w:r>
            <w:r>
              <w:rPr>
                <w:rFonts w:ascii="Verdana" w:hAnsi="Verdana"/>
                <w:sz w:val="18"/>
                <w:szCs w:val="18"/>
              </w:rPr>
              <w:t xml:space="preserve">   </w:t>
            </w:r>
            <w:r w:rsidR="002E77C3" w:rsidRPr="00293544">
              <w:rPr>
                <w:rFonts w:ascii="Verdana" w:hAnsi="Verdana"/>
                <w:sz w:val="18"/>
                <w:szCs w:val="18"/>
              </w:rPr>
              <w:t>Approval or variation of director remuneration</w:t>
            </w:r>
            <w:r w:rsidR="002E77C3">
              <w:rPr>
                <w:rStyle w:val="FootnoteReference"/>
                <w:rFonts w:ascii="Verdana" w:hAnsi="Verdana"/>
                <w:sz w:val="18"/>
                <w:szCs w:val="18"/>
              </w:rPr>
              <w:footnoteReference w:id="12"/>
            </w:r>
            <w:r w:rsidR="002E77C3" w:rsidRPr="00293544">
              <w:rPr>
                <w:rFonts w:ascii="Verdana" w:hAnsi="Verdana"/>
                <w:sz w:val="18"/>
                <w:szCs w:val="18"/>
              </w:rPr>
              <w:t xml:space="preserve"> and/or terms and conditions of employment or engagement (Article 8.1 (E))</w:t>
            </w:r>
            <w:bookmarkEnd w:id="2"/>
            <w:r w:rsidR="00BE744C">
              <w:rPr>
                <w:rFonts w:ascii="Verdana" w:hAnsi="Verdana"/>
                <w:sz w:val="18"/>
                <w:szCs w:val="18"/>
              </w:rPr>
              <w:t>, FD sections 9 and 31.</w:t>
            </w:r>
          </w:p>
        </w:tc>
        <w:tc>
          <w:tcPr>
            <w:tcW w:w="1701" w:type="dxa"/>
            <w:vAlign w:val="center"/>
          </w:tcPr>
          <w:p w14:paraId="1B992105" w14:textId="60BC4C5A" w:rsidR="002E77C3" w:rsidRPr="00BC2D08" w:rsidRDefault="002E77C3" w:rsidP="002E77C3">
            <w:pPr>
              <w:pStyle w:val="ListParagraph"/>
              <w:ind w:left="33"/>
              <w:jc w:val="center"/>
              <w:rPr>
                <w:rFonts w:ascii="Verdana" w:hAnsi="Verdana"/>
                <w:b/>
                <w:color w:val="00B050"/>
                <w:sz w:val="15"/>
                <w:szCs w:val="15"/>
              </w:rPr>
            </w:pPr>
            <w:r w:rsidRPr="00BC2D08">
              <w:rPr>
                <w:rFonts w:ascii="Verdana" w:hAnsi="Verdana"/>
                <w:b/>
                <w:sz w:val="15"/>
                <w:szCs w:val="15"/>
              </w:rPr>
              <w:t>-</w:t>
            </w:r>
          </w:p>
        </w:tc>
        <w:tc>
          <w:tcPr>
            <w:tcW w:w="1559" w:type="dxa"/>
            <w:vAlign w:val="center"/>
          </w:tcPr>
          <w:p w14:paraId="5C94722A" w14:textId="32CA1394"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w:t>
            </w:r>
          </w:p>
        </w:tc>
        <w:tc>
          <w:tcPr>
            <w:tcW w:w="1477" w:type="dxa"/>
            <w:vAlign w:val="center"/>
          </w:tcPr>
          <w:p w14:paraId="45EC9BAF" w14:textId="256F10D8"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color w:val="000000" w:themeColor="text1"/>
                <w:sz w:val="15"/>
                <w:szCs w:val="15"/>
              </w:rPr>
              <w:t>-</w:t>
            </w:r>
          </w:p>
        </w:tc>
        <w:tc>
          <w:tcPr>
            <w:tcW w:w="1723" w:type="dxa"/>
            <w:vAlign w:val="center"/>
          </w:tcPr>
          <w:p w14:paraId="59D197D2" w14:textId="63968443" w:rsidR="002E77C3" w:rsidRPr="00BC2D08" w:rsidRDefault="002E77C3" w:rsidP="002E77C3">
            <w:pPr>
              <w:jc w:val="center"/>
              <w:rPr>
                <w:rFonts w:ascii="Verdana" w:hAnsi="Verdana"/>
                <w:sz w:val="15"/>
                <w:szCs w:val="15"/>
              </w:rPr>
            </w:pPr>
            <w:r w:rsidRPr="00BC2D08">
              <w:rPr>
                <w:rFonts w:ascii="Verdana" w:hAnsi="Verdana"/>
                <w:sz w:val="15"/>
                <w:szCs w:val="15"/>
              </w:rPr>
              <w:t>Approve subject to Shareholder consent</w:t>
            </w:r>
          </w:p>
        </w:tc>
        <w:tc>
          <w:tcPr>
            <w:tcW w:w="1851" w:type="dxa"/>
            <w:vAlign w:val="center"/>
          </w:tcPr>
          <w:p w14:paraId="37CE55C4" w14:textId="30E4DBEE"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0112DA23" w14:textId="0FFEAA0C"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4B473127" w14:textId="0709AFC7"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Consent</w:t>
            </w:r>
          </w:p>
        </w:tc>
        <w:tc>
          <w:tcPr>
            <w:tcW w:w="5704" w:type="dxa"/>
          </w:tcPr>
          <w:p w14:paraId="0535871B" w14:textId="543EAF8C"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The Board delegates to the Remuneration Committee the approval for recommendation to the Shareholder of director remuneration but this must be within approved remuneration policies.</w:t>
            </w:r>
          </w:p>
        </w:tc>
      </w:tr>
      <w:tr w:rsidR="002E77C3" w:rsidRPr="00733988" w14:paraId="7661D667" w14:textId="77777777" w:rsidTr="002E77C3">
        <w:tc>
          <w:tcPr>
            <w:tcW w:w="5388" w:type="dxa"/>
          </w:tcPr>
          <w:p w14:paraId="7CD83248" w14:textId="37A78B1F" w:rsidR="002E77C3" w:rsidRDefault="00BA558E" w:rsidP="0015551D">
            <w:pPr>
              <w:pStyle w:val="Recitals"/>
              <w:numPr>
                <w:ilvl w:val="0"/>
                <w:numId w:val="0"/>
              </w:numPr>
              <w:tabs>
                <w:tab w:val="left" w:pos="462"/>
              </w:tabs>
              <w:spacing w:after="0" w:line="240" w:lineRule="auto"/>
              <w:ind w:left="462" w:hanging="462"/>
              <w:jc w:val="left"/>
              <w:rPr>
                <w:rFonts w:ascii="Verdana" w:hAnsi="Verdana"/>
                <w:sz w:val="18"/>
                <w:szCs w:val="18"/>
              </w:rPr>
            </w:pPr>
            <w:r>
              <w:rPr>
                <w:rFonts w:ascii="Verdana" w:hAnsi="Verdana"/>
                <w:sz w:val="18"/>
                <w:szCs w:val="18"/>
              </w:rPr>
              <w:t>5.6</w:t>
            </w:r>
            <w:r w:rsidR="0015551D">
              <w:rPr>
                <w:rFonts w:ascii="Verdana" w:hAnsi="Verdana"/>
                <w:sz w:val="18"/>
                <w:szCs w:val="18"/>
              </w:rPr>
              <w:t xml:space="preserve">   </w:t>
            </w:r>
            <w:r w:rsidR="002E77C3" w:rsidRPr="00C5416E">
              <w:rPr>
                <w:rFonts w:ascii="Verdana" w:hAnsi="Verdana"/>
                <w:sz w:val="18"/>
                <w:szCs w:val="18"/>
              </w:rPr>
              <w:t>Appointment, reappointment, removal and remuneration</w:t>
            </w:r>
            <w:r w:rsidR="002E77C3" w:rsidRPr="00C5416E">
              <w:rPr>
                <w:rStyle w:val="FootnoteReference"/>
                <w:rFonts w:ascii="Verdana" w:hAnsi="Verdana"/>
                <w:sz w:val="18"/>
                <w:szCs w:val="18"/>
              </w:rPr>
              <w:footnoteReference w:id="13"/>
            </w:r>
            <w:r w:rsidR="002E77C3" w:rsidRPr="00C5416E">
              <w:rPr>
                <w:rFonts w:ascii="Verdana" w:hAnsi="Verdana"/>
                <w:sz w:val="18"/>
                <w:szCs w:val="18"/>
              </w:rPr>
              <w:t xml:space="preserve"> of executives reporting directly to </w:t>
            </w:r>
            <w:r w:rsidR="002E77C3" w:rsidRPr="00C5416E">
              <w:rPr>
                <w:rFonts w:ascii="Verdana" w:hAnsi="Verdana"/>
                <w:sz w:val="18"/>
                <w:szCs w:val="18"/>
              </w:rPr>
              <w:lastRenderedPageBreak/>
              <w:t>the Group Chief Executive Officer (</w:t>
            </w:r>
            <w:r w:rsidR="002E77C3">
              <w:rPr>
                <w:rFonts w:ascii="Verdana" w:hAnsi="Verdana"/>
                <w:sz w:val="18"/>
                <w:szCs w:val="18"/>
              </w:rPr>
              <w:t xml:space="preserve">Strategic </w:t>
            </w:r>
            <w:r w:rsidR="002E77C3" w:rsidRPr="00C5416E">
              <w:rPr>
                <w:rFonts w:ascii="Verdana" w:hAnsi="Verdana"/>
                <w:sz w:val="18"/>
                <w:szCs w:val="18"/>
              </w:rPr>
              <w:t>Executive</w:t>
            </w:r>
            <w:r w:rsidR="002E77C3">
              <w:rPr>
                <w:rFonts w:ascii="Verdana" w:hAnsi="Verdana"/>
                <w:sz w:val="18"/>
                <w:szCs w:val="18"/>
              </w:rPr>
              <w:t xml:space="preserve"> Group</w:t>
            </w:r>
            <w:r w:rsidR="002E77C3" w:rsidRPr="00C5416E">
              <w:rPr>
                <w:rFonts w:ascii="Verdana" w:hAnsi="Verdana"/>
                <w:sz w:val="18"/>
                <w:szCs w:val="18"/>
              </w:rPr>
              <w:t>), other than executive directors</w:t>
            </w:r>
            <w:r w:rsidR="00BE744C">
              <w:rPr>
                <w:rFonts w:ascii="Verdana" w:hAnsi="Verdana"/>
                <w:sz w:val="18"/>
                <w:szCs w:val="18"/>
              </w:rPr>
              <w:t xml:space="preserve"> (FD section 31)</w:t>
            </w:r>
          </w:p>
        </w:tc>
        <w:tc>
          <w:tcPr>
            <w:tcW w:w="1701" w:type="dxa"/>
            <w:vAlign w:val="center"/>
          </w:tcPr>
          <w:p w14:paraId="57F9DEB7" w14:textId="52346C74"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lastRenderedPageBreak/>
              <w:t>-</w:t>
            </w:r>
          </w:p>
        </w:tc>
        <w:tc>
          <w:tcPr>
            <w:tcW w:w="1559" w:type="dxa"/>
            <w:vAlign w:val="center"/>
          </w:tcPr>
          <w:p w14:paraId="27E1F922" w14:textId="40317103"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231F6159" w14:textId="43C955E2" w:rsidR="002E77C3" w:rsidRPr="00BC2D08" w:rsidRDefault="002E77C3" w:rsidP="002E77C3">
            <w:pPr>
              <w:pStyle w:val="ListParagraph"/>
              <w:ind w:left="0"/>
              <w:jc w:val="center"/>
              <w:rPr>
                <w:rFonts w:ascii="Verdana" w:hAnsi="Verdana"/>
                <w:color w:val="000000" w:themeColor="text1"/>
                <w:sz w:val="15"/>
                <w:szCs w:val="15"/>
              </w:rPr>
            </w:pPr>
            <w:r w:rsidRPr="00BC2D08">
              <w:rPr>
                <w:rFonts w:ascii="Verdana" w:hAnsi="Verdana"/>
                <w:color w:val="000000" w:themeColor="text1"/>
                <w:sz w:val="15"/>
                <w:szCs w:val="15"/>
              </w:rPr>
              <w:t>Approve</w:t>
            </w:r>
          </w:p>
        </w:tc>
        <w:tc>
          <w:tcPr>
            <w:tcW w:w="1723" w:type="dxa"/>
            <w:vAlign w:val="center"/>
          </w:tcPr>
          <w:p w14:paraId="7D0572C1" w14:textId="09A048ED" w:rsidR="002E77C3" w:rsidRPr="00BC2D08" w:rsidRDefault="002E77C3" w:rsidP="002E77C3">
            <w:pPr>
              <w:jc w:val="center"/>
              <w:rPr>
                <w:rFonts w:ascii="Verdana" w:hAnsi="Verdana"/>
                <w:sz w:val="15"/>
                <w:szCs w:val="15"/>
              </w:rPr>
            </w:pPr>
            <w:r w:rsidRPr="00BC2D08">
              <w:rPr>
                <w:rFonts w:ascii="Verdana" w:hAnsi="Verdana"/>
                <w:color w:val="000000" w:themeColor="text1"/>
                <w:sz w:val="15"/>
                <w:szCs w:val="15"/>
              </w:rPr>
              <w:t>Approve</w:t>
            </w:r>
          </w:p>
        </w:tc>
        <w:tc>
          <w:tcPr>
            <w:tcW w:w="1851" w:type="dxa"/>
            <w:vAlign w:val="center"/>
          </w:tcPr>
          <w:p w14:paraId="45150791" w14:textId="56D5FAB9"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71C67BDF" w14:textId="49510AB8"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668B17BD" w14:textId="4DD3A826"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011AA613" w14:textId="17A344B0" w:rsidR="002E77C3" w:rsidRPr="00BC2D08" w:rsidRDefault="002E77C3" w:rsidP="002E77C3">
            <w:pPr>
              <w:rPr>
                <w:rFonts w:ascii="Verdana" w:hAnsi="Verdana"/>
                <w:sz w:val="15"/>
                <w:szCs w:val="15"/>
              </w:rPr>
            </w:pPr>
            <w:r w:rsidRPr="00BC2D08">
              <w:rPr>
                <w:rFonts w:ascii="Verdana" w:hAnsi="Verdana"/>
                <w:sz w:val="15"/>
                <w:szCs w:val="15"/>
              </w:rPr>
              <w:t xml:space="preserve">POL will observe the Public Sector Pay and Terms (FD </w:t>
            </w:r>
            <w:r w:rsidR="00BE744C">
              <w:rPr>
                <w:rFonts w:ascii="Verdana" w:hAnsi="Verdana"/>
                <w:sz w:val="15"/>
                <w:szCs w:val="15"/>
              </w:rPr>
              <w:t xml:space="preserve">section 31 and </w:t>
            </w:r>
            <w:r w:rsidRPr="00BC2D08">
              <w:rPr>
                <w:rFonts w:ascii="Verdana" w:hAnsi="Verdana"/>
                <w:sz w:val="15"/>
                <w:szCs w:val="15"/>
              </w:rPr>
              <w:t>A</w:t>
            </w:r>
            <w:r w:rsidR="00BE744C">
              <w:rPr>
                <w:rFonts w:ascii="Verdana" w:hAnsi="Verdana"/>
                <w:sz w:val="15"/>
                <w:szCs w:val="15"/>
              </w:rPr>
              <w:t xml:space="preserve">nnex A) </w:t>
            </w:r>
          </w:p>
        </w:tc>
      </w:tr>
      <w:tr w:rsidR="002E77C3" w:rsidRPr="00733988" w14:paraId="666C1D7D" w14:textId="77777777" w:rsidTr="002E77C3">
        <w:tc>
          <w:tcPr>
            <w:tcW w:w="5388" w:type="dxa"/>
          </w:tcPr>
          <w:p w14:paraId="24F68010" w14:textId="58BA5DD0" w:rsidR="002E77C3" w:rsidRDefault="00BA558E" w:rsidP="0015551D">
            <w:pPr>
              <w:pStyle w:val="Recitals"/>
              <w:numPr>
                <w:ilvl w:val="0"/>
                <w:numId w:val="0"/>
              </w:numPr>
              <w:spacing w:after="0" w:line="240" w:lineRule="auto"/>
              <w:ind w:left="887" w:hanging="851"/>
              <w:jc w:val="left"/>
              <w:rPr>
                <w:rFonts w:ascii="Verdana" w:hAnsi="Verdana"/>
                <w:sz w:val="18"/>
                <w:szCs w:val="18"/>
              </w:rPr>
            </w:pPr>
            <w:r>
              <w:rPr>
                <w:rFonts w:ascii="Verdana" w:hAnsi="Verdana"/>
                <w:sz w:val="18"/>
                <w:szCs w:val="18"/>
              </w:rPr>
              <w:t>5.7</w:t>
            </w:r>
            <w:r w:rsidR="0015551D">
              <w:rPr>
                <w:rFonts w:ascii="Verdana" w:hAnsi="Verdana"/>
                <w:sz w:val="18"/>
                <w:szCs w:val="18"/>
              </w:rPr>
              <w:t xml:space="preserve">  </w:t>
            </w:r>
            <w:r w:rsidR="002E77C3">
              <w:rPr>
                <w:rFonts w:ascii="Verdana" w:hAnsi="Verdana"/>
                <w:sz w:val="18"/>
                <w:szCs w:val="18"/>
              </w:rPr>
              <w:t>Approval of the Group Remuneration Policy</w:t>
            </w:r>
            <w:r w:rsidR="002E77C3">
              <w:rPr>
                <w:rStyle w:val="FootnoteReference"/>
                <w:rFonts w:ascii="Verdana" w:hAnsi="Verdana"/>
                <w:sz w:val="18"/>
                <w:szCs w:val="18"/>
              </w:rPr>
              <w:footnoteReference w:id="14"/>
            </w:r>
            <w:r w:rsidR="002E77C3">
              <w:rPr>
                <w:rFonts w:ascii="Verdana" w:hAnsi="Verdana"/>
                <w:sz w:val="18"/>
                <w:szCs w:val="18"/>
              </w:rPr>
              <w:t xml:space="preserve">  </w:t>
            </w:r>
          </w:p>
        </w:tc>
        <w:tc>
          <w:tcPr>
            <w:tcW w:w="1701" w:type="dxa"/>
            <w:vAlign w:val="center"/>
          </w:tcPr>
          <w:p w14:paraId="0F297509" w14:textId="44B2E498"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447B9457" w14:textId="1DF872F6"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53F69EAD" w14:textId="72553EDE" w:rsidR="002E77C3" w:rsidRPr="00BC2D08" w:rsidRDefault="002E77C3" w:rsidP="002E77C3">
            <w:pPr>
              <w:pStyle w:val="ListParagraph"/>
              <w:ind w:left="0"/>
              <w:jc w:val="center"/>
              <w:rPr>
                <w:rFonts w:ascii="Verdana" w:hAnsi="Verdana"/>
                <w:color w:val="000000" w:themeColor="text1"/>
                <w:sz w:val="15"/>
                <w:szCs w:val="15"/>
              </w:rPr>
            </w:pPr>
            <w:r w:rsidRPr="00BC2D08">
              <w:rPr>
                <w:rFonts w:ascii="Verdana" w:hAnsi="Verdana"/>
                <w:color w:val="000000" w:themeColor="text1"/>
                <w:sz w:val="15"/>
                <w:szCs w:val="15"/>
              </w:rPr>
              <w:t>-</w:t>
            </w:r>
          </w:p>
        </w:tc>
        <w:tc>
          <w:tcPr>
            <w:tcW w:w="1723" w:type="dxa"/>
            <w:vAlign w:val="center"/>
          </w:tcPr>
          <w:p w14:paraId="6FDA6703" w14:textId="16CCFC02" w:rsidR="002E77C3" w:rsidRPr="00BC2D08" w:rsidRDefault="002E77C3" w:rsidP="002E77C3">
            <w:pPr>
              <w:jc w:val="center"/>
              <w:rPr>
                <w:rFonts w:ascii="Verdana" w:hAnsi="Verdana"/>
                <w:color w:val="000000" w:themeColor="text1"/>
                <w:sz w:val="15"/>
                <w:szCs w:val="15"/>
              </w:rPr>
            </w:pPr>
            <w:r w:rsidRPr="00BC2D08">
              <w:rPr>
                <w:rFonts w:ascii="Verdana" w:hAnsi="Verdana"/>
                <w:sz w:val="15"/>
                <w:szCs w:val="15"/>
              </w:rPr>
              <w:t>Approve for recommendation to POL Board</w:t>
            </w:r>
          </w:p>
        </w:tc>
        <w:tc>
          <w:tcPr>
            <w:tcW w:w="1851" w:type="dxa"/>
            <w:vAlign w:val="center"/>
          </w:tcPr>
          <w:p w14:paraId="1F1DC884" w14:textId="6A006D10" w:rsidR="002E77C3" w:rsidRPr="00BC2D08" w:rsidRDefault="002E77C3" w:rsidP="002E77C3">
            <w:pPr>
              <w:jc w:val="center"/>
              <w:rPr>
                <w:rFonts w:ascii="Verdana" w:hAnsi="Verdana"/>
                <w:color w:val="000000" w:themeColor="text1"/>
                <w:sz w:val="15"/>
                <w:szCs w:val="15"/>
              </w:rPr>
            </w:pPr>
            <w:r w:rsidRPr="00673B44">
              <w:rPr>
                <w:rFonts w:ascii="Verdana" w:hAnsi="Verdana"/>
                <w:color w:val="000000" w:themeColor="text1"/>
                <w:sz w:val="15"/>
                <w:szCs w:val="15"/>
              </w:rPr>
              <w:t>-</w:t>
            </w:r>
          </w:p>
        </w:tc>
        <w:tc>
          <w:tcPr>
            <w:tcW w:w="1851" w:type="dxa"/>
            <w:vAlign w:val="center"/>
          </w:tcPr>
          <w:p w14:paraId="1DFCCA2D" w14:textId="37FA79C2" w:rsidR="002E77C3" w:rsidRPr="00BC2D08" w:rsidRDefault="002E77C3" w:rsidP="002E77C3">
            <w:pPr>
              <w:jc w:val="center"/>
              <w:rPr>
                <w:rFonts w:ascii="Verdana" w:hAnsi="Verdana"/>
                <w:sz w:val="15"/>
                <w:szCs w:val="15"/>
              </w:rPr>
            </w:pPr>
            <w:r w:rsidRPr="00BC2D08">
              <w:rPr>
                <w:rFonts w:ascii="Verdana" w:hAnsi="Verdana"/>
                <w:color w:val="000000" w:themeColor="text1"/>
                <w:sz w:val="15"/>
                <w:szCs w:val="15"/>
              </w:rPr>
              <w:t>Approve</w:t>
            </w:r>
          </w:p>
        </w:tc>
        <w:tc>
          <w:tcPr>
            <w:tcW w:w="1852" w:type="dxa"/>
            <w:vAlign w:val="center"/>
          </w:tcPr>
          <w:p w14:paraId="05E4E91B" w14:textId="6A1E33CD"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110C1DEA" w14:textId="58130C74"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This incorporates the establishment of any profit-sharing, share option, bonus or other incentive schemes for employees of any Group Company.</w:t>
            </w:r>
          </w:p>
          <w:p w14:paraId="002D8F58" w14:textId="1947A6B7"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The Group is required to seek consent for actions relating to shares in subsidiaries (Article 8.1 (K) &amp; (L)) </w:t>
            </w:r>
          </w:p>
          <w:p w14:paraId="3F3AC453" w14:textId="6D8EC6E3"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POL will observe the Public Sector Pay and Terms (FD </w:t>
            </w:r>
            <w:r w:rsidR="00BE744C">
              <w:rPr>
                <w:rFonts w:ascii="Verdana" w:hAnsi="Verdana"/>
                <w:sz w:val="15"/>
                <w:szCs w:val="15"/>
              </w:rPr>
              <w:t>section 31 and Annex A</w:t>
            </w:r>
          </w:p>
          <w:p w14:paraId="39CF7299" w14:textId="7E46803A"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POL director remuneration is dealt with in 5.5 and 5.9 - 5.11 for subsidiaries. </w:t>
            </w:r>
          </w:p>
        </w:tc>
      </w:tr>
      <w:tr w:rsidR="002E77C3" w:rsidRPr="00733988" w14:paraId="5108691F" w14:textId="77777777" w:rsidTr="002E77C3">
        <w:tc>
          <w:tcPr>
            <w:tcW w:w="5388" w:type="dxa"/>
          </w:tcPr>
          <w:p w14:paraId="25CB94ED" w14:textId="5D5693E4" w:rsidR="002E77C3" w:rsidRDefault="002E77C3" w:rsidP="0015551D">
            <w:pPr>
              <w:pStyle w:val="Recitals"/>
              <w:numPr>
                <w:ilvl w:val="1"/>
                <w:numId w:val="42"/>
              </w:numPr>
              <w:tabs>
                <w:tab w:val="left" w:pos="462"/>
              </w:tabs>
              <w:spacing w:after="0" w:line="240" w:lineRule="auto"/>
              <w:ind w:left="462" w:hanging="462"/>
              <w:jc w:val="left"/>
              <w:rPr>
                <w:rFonts w:ascii="Verdana" w:hAnsi="Verdana"/>
                <w:sz w:val="18"/>
                <w:szCs w:val="18"/>
              </w:rPr>
            </w:pPr>
            <w:r w:rsidRPr="00C5416E">
              <w:rPr>
                <w:rFonts w:ascii="Verdana" w:hAnsi="Verdana"/>
                <w:sz w:val="18"/>
                <w:szCs w:val="18"/>
              </w:rPr>
              <w:t>Approval of the introduction of</w:t>
            </w:r>
            <w:r>
              <w:rPr>
                <w:rFonts w:ascii="Verdana" w:hAnsi="Verdana"/>
                <w:sz w:val="18"/>
                <w:szCs w:val="18"/>
              </w:rPr>
              <w:t xml:space="preserve"> and any changes to</w:t>
            </w:r>
            <w:r w:rsidRPr="00C5416E">
              <w:rPr>
                <w:rFonts w:ascii="Verdana" w:hAnsi="Verdana"/>
                <w:sz w:val="18"/>
                <w:szCs w:val="18"/>
              </w:rPr>
              <w:t xml:space="preserve"> any long and/or short term incentive scheme, </w:t>
            </w:r>
            <w:r>
              <w:rPr>
                <w:rFonts w:ascii="Verdana" w:hAnsi="Verdana"/>
                <w:sz w:val="18"/>
                <w:szCs w:val="18"/>
              </w:rPr>
              <w:t xml:space="preserve">and </w:t>
            </w:r>
            <w:r w:rsidRPr="00C5416E">
              <w:rPr>
                <w:rFonts w:ascii="Verdana" w:hAnsi="Verdana"/>
                <w:sz w:val="18"/>
                <w:szCs w:val="18"/>
              </w:rPr>
              <w:t xml:space="preserve">the associated performance criteria and any awards made under such schemes by any Group Company </w:t>
            </w:r>
          </w:p>
        </w:tc>
        <w:tc>
          <w:tcPr>
            <w:tcW w:w="1701" w:type="dxa"/>
            <w:vAlign w:val="center"/>
          </w:tcPr>
          <w:p w14:paraId="776DB495" w14:textId="06EBC111"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46B5BEED" w14:textId="1D5A4D85"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456A5B3F" w14:textId="2C5C9E77" w:rsidR="002E77C3" w:rsidRPr="00BC2D08" w:rsidRDefault="002E77C3" w:rsidP="002E77C3">
            <w:pPr>
              <w:pStyle w:val="ListParagraph"/>
              <w:ind w:left="0"/>
              <w:jc w:val="center"/>
              <w:rPr>
                <w:rFonts w:ascii="Verdana" w:hAnsi="Verdana"/>
                <w:color w:val="000000" w:themeColor="text1"/>
                <w:sz w:val="15"/>
                <w:szCs w:val="15"/>
              </w:rPr>
            </w:pPr>
            <w:r w:rsidRPr="00BC2D08">
              <w:rPr>
                <w:rFonts w:ascii="Verdana" w:hAnsi="Verdana"/>
                <w:color w:val="000000" w:themeColor="text1"/>
                <w:sz w:val="15"/>
                <w:szCs w:val="15"/>
              </w:rPr>
              <w:t>-</w:t>
            </w:r>
          </w:p>
        </w:tc>
        <w:tc>
          <w:tcPr>
            <w:tcW w:w="1723" w:type="dxa"/>
            <w:vAlign w:val="center"/>
          </w:tcPr>
          <w:p w14:paraId="57FD1022" w14:textId="753509C3" w:rsidR="002E77C3" w:rsidRPr="00BC2D08" w:rsidRDefault="002E77C3" w:rsidP="002E77C3">
            <w:pPr>
              <w:jc w:val="center"/>
              <w:rPr>
                <w:rFonts w:ascii="Verdana" w:hAnsi="Verdana"/>
                <w:sz w:val="15"/>
                <w:szCs w:val="15"/>
              </w:rPr>
            </w:pPr>
            <w:r w:rsidRPr="00BC2D08">
              <w:rPr>
                <w:rFonts w:ascii="Verdana" w:hAnsi="Verdana"/>
                <w:color w:val="000000" w:themeColor="text1"/>
                <w:sz w:val="15"/>
                <w:szCs w:val="15"/>
              </w:rPr>
              <w:t>Approve</w:t>
            </w:r>
          </w:p>
        </w:tc>
        <w:tc>
          <w:tcPr>
            <w:tcW w:w="1851" w:type="dxa"/>
            <w:vAlign w:val="center"/>
          </w:tcPr>
          <w:p w14:paraId="660A61C3" w14:textId="2D64E132"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2A4D38FF" w14:textId="07E13712" w:rsidR="002E77C3" w:rsidRPr="00BC2D08" w:rsidRDefault="002E77C3" w:rsidP="002E77C3">
            <w:pPr>
              <w:jc w:val="center"/>
              <w:rPr>
                <w:rFonts w:ascii="Verdana" w:hAnsi="Verdana"/>
                <w:color w:val="000000" w:themeColor="text1"/>
                <w:sz w:val="15"/>
                <w:szCs w:val="15"/>
              </w:rPr>
            </w:pPr>
            <w:r w:rsidRPr="00BC2D08">
              <w:rPr>
                <w:rFonts w:ascii="Verdana" w:hAnsi="Verdana"/>
                <w:sz w:val="15"/>
                <w:szCs w:val="15"/>
              </w:rPr>
              <w:t>-</w:t>
            </w:r>
          </w:p>
        </w:tc>
        <w:tc>
          <w:tcPr>
            <w:tcW w:w="1852" w:type="dxa"/>
            <w:vAlign w:val="center"/>
          </w:tcPr>
          <w:p w14:paraId="6F9057C4" w14:textId="4AA31A6E" w:rsidR="002E77C3" w:rsidRPr="00BC2D08" w:rsidRDefault="002E77C3" w:rsidP="002E77C3">
            <w:pPr>
              <w:pStyle w:val="ListParagraph"/>
              <w:ind w:left="33"/>
              <w:jc w:val="center"/>
              <w:rPr>
                <w:rFonts w:ascii="Verdana" w:hAnsi="Verdana"/>
                <w:sz w:val="15"/>
                <w:szCs w:val="15"/>
              </w:rPr>
            </w:pPr>
            <w:r w:rsidRPr="00BC2D08">
              <w:rPr>
                <w:rFonts w:ascii="Verdana" w:hAnsi="Verdana"/>
                <w:color w:val="000000" w:themeColor="text1"/>
                <w:sz w:val="15"/>
                <w:szCs w:val="15"/>
              </w:rPr>
              <w:t>-</w:t>
            </w:r>
          </w:p>
        </w:tc>
        <w:tc>
          <w:tcPr>
            <w:tcW w:w="5704" w:type="dxa"/>
            <w:vAlign w:val="center"/>
          </w:tcPr>
          <w:p w14:paraId="0F83DED6" w14:textId="5CAA53E8" w:rsidR="002E77C3" w:rsidRPr="00BC2D08" w:rsidRDefault="002E77C3" w:rsidP="002E77C3">
            <w:pPr>
              <w:pStyle w:val="ListParagraph"/>
              <w:ind w:left="33"/>
              <w:rPr>
                <w:rFonts w:ascii="Verdana" w:hAnsi="Verdana"/>
                <w:sz w:val="15"/>
                <w:szCs w:val="15"/>
              </w:rPr>
            </w:pPr>
          </w:p>
        </w:tc>
      </w:tr>
      <w:tr w:rsidR="002E77C3" w:rsidRPr="00733988" w14:paraId="65E9FED8" w14:textId="77777777" w:rsidTr="002E77C3">
        <w:tc>
          <w:tcPr>
            <w:tcW w:w="5388" w:type="dxa"/>
          </w:tcPr>
          <w:p w14:paraId="0B065962" w14:textId="6022B500" w:rsidR="002E77C3" w:rsidRDefault="0015551D" w:rsidP="0015551D">
            <w:pPr>
              <w:pStyle w:val="Recitals"/>
              <w:numPr>
                <w:ilvl w:val="0"/>
                <w:numId w:val="0"/>
              </w:numPr>
              <w:spacing w:after="0" w:line="240" w:lineRule="auto"/>
              <w:ind w:left="462" w:hanging="462"/>
              <w:jc w:val="left"/>
              <w:rPr>
                <w:rFonts w:ascii="Verdana" w:hAnsi="Verdana"/>
                <w:color w:val="FF0000"/>
                <w:sz w:val="18"/>
                <w:szCs w:val="18"/>
              </w:rPr>
            </w:pPr>
            <w:r>
              <w:rPr>
                <w:rFonts w:ascii="Verdana" w:hAnsi="Verdana"/>
                <w:sz w:val="18"/>
                <w:szCs w:val="18"/>
              </w:rPr>
              <w:t xml:space="preserve">5.9   </w:t>
            </w:r>
            <w:r w:rsidR="002E77C3" w:rsidRPr="003D2FCD">
              <w:rPr>
                <w:rFonts w:ascii="Verdana" w:hAnsi="Verdana"/>
                <w:sz w:val="18"/>
                <w:szCs w:val="18"/>
              </w:rPr>
              <w:t xml:space="preserve">Approval of the recruitment and appointment process for a director (who is not an employee of a member of the Group) to </w:t>
            </w:r>
            <w:r w:rsidR="002E77C3">
              <w:rPr>
                <w:rFonts w:ascii="Verdana" w:hAnsi="Verdana"/>
                <w:sz w:val="18"/>
                <w:szCs w:val="18"/>
              </w:rPr>
              <w:t xml:space="preserve">a </w:t>
            </w:r>
            <w:r w:rsidR="002E77C3" w:rsidRPr="003D2FCD">
              <w:rPr>
                <w:rFonts w:ascii="Verdana" w:hAnsi="Verdana"/>
                <w:sz w:val="18"/>
                <w:szCs w:val="18"/>
              </w:rPr>
              <w:t xml:space="preserve">Subsidiary including formation of interview panel. </w:t>
            </w:r>
          </w:p>
        </w:tc>
        <w:tc>
          <w:tcPr>
            <w:tcW w:w="1701" w:type="dxa"/>
            <w:vAlign w:val="center"/>
          </w:tcPr>
          <w:p w14:paraId="76022233" w14:textId="31FA9231"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4AE6FD02" w14:textId="74C7315F"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1A850095" w14:textId="326C516B" w:rsidR="002E77C3" w:rsidRPr="00BC2D08" w:rsidRDefault="002E77C3" w:rsidP="002E77C3">
            <w:pPr>
              <w:pStyle w:val="ListParagraph"/>
              <w:ind w:left="0"/>
              <w:jc w:val="center"/>
              <w:rPr>
                <w:rFonts w:ascii="Verdana" w:hAnsi="Verdana"/>
                <w:sz w:val="15"/>
                <w:szCs w:val="15"/>
              </w:rPr>
            </w:pPr>
            <w:r w:rsidRPr="00BC2D08">
              <w:rPr>
                <w:rFonts w:ascii="Verdana" w:hAnsi="Verdana"/>
                <w:color w:val="000000" w:themeColor="text1"/>
                <w:sz w:val="15"/>
                <w:szCs w:val="15"/>
              </w:rPr>
              <w:t>Approve</w:t>
            </w:r>
          </w:p>
        </w:tc>
        <w:tc>
          <w:tcPr>
            <w:tcW w:w="1723" w:type="dxa"/>
            <w:vAlign w:val="center"/>
          </w:tcPr>
          <w:p w14:paraId="751AC290" w14:textId="08174C46" w:rsidR="002E77C3" w:rsidRPr="00BC2D08" w:rsidRDefault="002E77C3" w:rsidP="002E77C3">
            <w:pPr>
              <w:jc w:val="center"/>
              <w:rPr>
                <w:rFonts w:ascii="Verdana" w:hAnsi="Verdana"/>
                <w:sz w:val="15"/>
                <w:szCs w:val="15"/>
              </w:rPr>
            </w:pPr>
            <w:r w:rsidRPr="00BC2D08">
              <w:rPr>
                <w:rFonts w:ascii="Verdana" w:hAnsi="Verdana"/>
                <w:color w:val="000000" w:themeColor="text1"/>
                <w:sz w:val="15"/>
                <w:szCs w:val="15"/>
              </w:rPr>
              <w:t>-</w:t>
            </w:r>
          </w:p>
        </w:tc>
        <w:tc>
          <w:tcPr>
            <w:tcW w:w="1851" w:type="dxa"/>
            <w:vAlign w:val="center"/>
          </w:tcPr>
          <w:p w14:paraId="7E75818E" w14:textId="1220019A"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2FF81897" w14:textId="383C5AD5"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5BD428F4" w14:textId="4D85F70E"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vAlign w:val="center"/>
          </w:tcPr>
          <w:p w14:paraId="7533F925" w14:textId="40FFBE29" w:rsidR="002E77C3" w:rsidRPr="00BC2D08" w:rsidRDefault="002E77C3" w:rsidP="002E77C3">
            <w:pPr>
              <w:rPr>
                <w:rFonts w:ascii="Verdana" w:hAnsi="Verdana"/>
                <w:sz w:val="15"/>
                <w:szCs w:val="15"/>
              </w:rPr>
            </w:pPr>
          </w:p>
        </w:tc>
      </w:tr>
      <w:tr w:rsidR="002E77C3" w:rsidRPr="00733988" w14:paraId="78358A2E" w14:textId="77777777" w:rsidTr="002E77C3">
        <w:tc>
          <w:tcPr>
            <w:tcW w:w="5388" w:type="dxa"/>
          </w:tcPr>
          <w:p w14:paraId="7A6C1085" w14:textId="65C8434C" w:rsidR="002E77C3" w:rsidRPr="006F38E2" w:rsidRDefault="0015551D" w:rsidP="0015551D">
            <w:pPr>
              <w:pStyle w:val="Recitals"/>
              <w:numPr>
                <w:ilvl w:val="0"/>
                <w:numId w:val="0"/>
              </w:numPr>
              <w:spacing w:after="0" w:line="240" w:lineRule="auto"/>
              <w:ind w:left="462" w:hanging="462"/>
              <w:jc w:val="left"/>
              <w:rPr>
                <w:rFonts w:ascii="Verdana" w:hAnsi="Verdana"/>
                <w:color w:val="FF0000"/>
                <w:sz w:val="18"/>
                <w:szCs w:val="18"/>
              </w:rPr>
            </w:pPr>
            <w:r>
              <w:rPr>
                <w:rFonts w:ascii="Verdana" w:hAnsi="Verdana"/>
                <w:sz w:val="18"/>
                <w:szCs w:val="18"/>
              </w:rPr>
              <w:t xml:space="preserve">5.10 </w:t>
            </w:r>
            <w:r w:rsidR="002E77C3" w:rsidRPr="006F38E2">
              <w:rPr>
                <w:rFonts w:ascii="Verdana" w:hAnsi="Verdana"/>
                <w:sz w:val="18"/>
                <w:szCs w:val="18"/>
              </w:rPr>
              <w:t>Appointment and remuneration</w:t>
            </w:r>
            <w:r w:rsidR="002E77C3" w:rsidRPr="006F38E2">
              <w:rPr>
                <w:rStyle w:val="FootnoteReference"/>
                <w:rFonts w:ascii="Verdana" w:hAnsi="Verdana"/>
                <w:sz w:val="18"/>
                <w:szCs w:val="18"/>
              </w:rPr>
              <w:footnoteReference w:id="15"/>
            </w:r>
            <w:r w:rsidR="002E77C3" w:rsidRPr="006F38E2">
              <w:rPr>
                <w:rFonts w:ascii="Verdana" w:hAnsi="Verdana"/>
                <w:sz w:val="18"/>
                <w:szCs w:val="18"/>
              </w:rPr>
              <w:t xml:space="preserve"> of any person who is not an employee of a member of the Group as a director of any Group Company (unless that company is regulated by the FCA)</w:t>
            </w:r>
            <w:r w:rsidR="002E77C3" w:rsidRPr="006F38E2">
              <w:rPr>
                <w:rFonts w:ascii="Verdana" w:hAnsi="Verdana"/>
                <w:color w:val="FF0000"/>
                <w:sz w:val="18"/>
                <w:szCs w:val="18"/>
              </w:rPr>
              <w:t xml:space="preserve"> </w:t>
            </w:r>
            <w:r w:rsidR="002E77C3" w:rsidRPr="006F38E2">
              <w:rPr>
                <w:rFonts w:ascii="Verdana" w:hAnsi="Verdana"/>
                <w:sz w:val="18"/>
                <w:szCs w:val="18"/>
              </w:rPr>
              <w:t>(Article 8.1 (S) (a))</w:t>
            </w:r>
          </w:p>
        </w:tc>
        <w:tc>
          <w:tcPr>
            <w:tcW w:w="1701" w:type="dxa"/>
            <w:vAlign w:val="center"/>
          </w:tcPr>
          <w:p w14:paraId="2C55C478" w14:textId="259B8FD9"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715EF187" w14:textId="21E2620C"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6264C240" w14:textId="3CC87FBD"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subject to Shareholder consent</w:t>
            </w:r>
          </w:p>
        </w:tc>
        <w:tc>
          <w:tcPr>
            <w:tcW w:w="1723" w:type="dxa"/>
            <w:vAlign w:val="center"/>
          </w:tcPr>
          <w:p w14:paraId="0B407FFB" w14:textId="1394EA1E" w:rsidR="002E77C3" w:rsidRPr="00BC2D08" w:rsidRDefault="002E77C3" w:rsidP="002E77C3">
            <w:pPr>
              <w:jc w:val="center"/>
              <w:rPr>
                <w:rFonts w:ascii="Verdana" w:hAnsi="Verdana"/>
                <w:sz w:val="15"/>
                <w:szCs w:val="15"/>
              </w:rPr>
            </w:pPr>
            <w:r w:rsidRPr="00BC2D08">
              <w:rPr>
                <w:rFonts w:ascii="Verdana" w:hAnsi="Verdana"/>
                <w:sz w:val="15"/>
                <w:szCs w:val="15"/>
              </w:rPr>
              <w:t>Approve subject to Shareholder consent</w:t>
            </w:r>
          </w:p>
        </w:tc>
        <w:tc>
          <w:tcPr>
            <w:tcW w:w="1851" w:type="dxa"/>
            <w:vAlign w:val="center"/>
          </w:tcPr>
          <w:p w14:paraId="76E92435" w14:textId="70EA1A87"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2ACF11F5" w14:textId="3DE78BC0"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64F0B67F" w14:textId="66E12EAD"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Consent</w:t>
            </w:r>
          </w:p>
        </w:tc>
        <w:tc>
          <w:tcPr>
            <w:tcW w:w="5704" w:type="dxa"/>
          </w:tcPr>
          <w:p w14:paraId="7B55FAAC" w14:textId="08F03F87" w:rsidR="002E77C3" w:rsidRPr="00BC2D08" w:rsidRDefault="002E77C3" w:rsidP="002E77C3">
            <w:pPr>
              <w:rPr>
                <w:rFonts w:ascii="Verdana" w:hAnsi="Verdana"/>
                <w:sz w:val="15"/>
                <w:szCs w:val="15"/>
              </w:rPr>
            </w:pPr>
            <w:r w:rsidRPr="00BC2D08">
              <w:rPr>
                <w:rFonts w:ascii="Verdana" w:hAnsi="Verdana"/>
                <w:sz w:val="15"/>
                <w:szCs w:val="15"/>
              </w:rPr>
              <w:t>Statutory Director appointments to Post</w:t>
            </w:r>
          </w:p>
          <w:p w14:paraId="019625D2" w14:textId="6C8B033A" w:rsidR="002E77C3" w:rsidRPr="00BC2D08" w:rsidRDefault="002E77C3" w:rsidP="002E77C3">
            <w:pPr>
              <w:rPr>
                <w:rFonts w:ascii="Verdana" w:hAnsi="Verdana"/>
                <w:sz w:val="15"/>
                <w:szCs w:val="15"/>
              </w:rPr>
            </w:pPr>
            <w:r w:rsidRPr="00BC2D08">
              <w:rPr>
                <w:rFonts w:ascii="Verdana" w:hAnsi="Verdana"/>
                <w:sz w:val="15"/>
                <w:szCs w:val="15"/>
              </w:rPr>
              <w:t xml:space="preserve">Office Insurance do not require Shareholder consent. </w:t>
            </w:r>
          </w:p>
        </w:tc>
      </w:tr>
      <w:tr w:rsidR="002E77C3" w:rsidRPr="00733988" w14:paraId="6E1B8E29" w14:textId="77777777" w:rsidTr="002E77C3">
        <w:tc>
          <w:tcPr>
            <w:tcW w:w="5388" w:type="dxa"/>
          </w:tcPr>
          <w:p w14:paraId="30681421" w14:textId="16C84235" w:rsidR="002E77C3" w:rsidRPr="006F38E2" w:rsidRDefault="0015551D" w:rsidP="0015551D">
            <w:pPr>
              <w:pStyle w:val="Recitals"/>
              <w:numPr>
                <w:ilvl w:val="0"/>
                <w:numId w:val="0"/>
              </w:numPr>
              <w:spacing w:after="0" w:line="240" w:lineRule="auto"/>
              <w:ind w:left="462" w:hanging="462"/>
              <w:jc w:val="left"/>
              <w:rPr>
                <w:rFonts w:ascii="Verdana" w:hAnsi="Verdana"/>
                <w:color w:val="FF0000"/>
                <w:sz w:val="18"/>
                <w:szCs w:val="18"/>
              </w:rPr>
            </w:pPr>
            <w:r>
              <w:rPr>
                <w:rFonts w:ascii="Verdana" w:hAnsi="Verdana"/>
                <w:sz w:val="18"/>
                <w:szCs w:val="18"/>
              </w:rPr>
              <w:t>5.11</w:t>
            </w:r>
            <w:r w:rsidR="002E77C3" w:rsidRPr="006F38E2">
              <w:rPr>
                <w:rFonts w:ascii="Verdana" w:hAnsi="Verdana"/>
                <w:sz w:val="18"/>
                <w:szCs w:val="18"/>
              </w:rPr>
              <w:t>The additional remuneration of any employee (not including any salary arrangements for such employee) of a member of the Group in their capacity as a director of a Group Company (Article 8.1 (S)(b))</w:t>
            </w:r>
          </w:p>
        </w:tc>
        <w:tc>
          <w:tcPr>
            <w:tcW w:w="1701" w:type="dxa"/>
            <w:vAlign w:val="center"/>
          </w:tcPr>
          <w:p w14:paraId="491C360F" w14:textId="34BAB2BA"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5A52B723" w14:textId="79675312"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3248A3D1" w14:textId="2A387973"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723" w:type="dxa"/>
            <w:vAlign w:val="center"/>
          </w:tcPr>
          <w:p w14:paraId="28A58CB7" w14:textId="5E7D9622" w:rsidR="002E77C3" w:rsidRPr="00BC2D08" w:rsidRDefault="002E77C3" w:rsidP="002E77C3">
            <w:pPr>
              <w:jc w:val="center"/>
              <w:rPr>
                <w:rFonts w:ascii="Verdana" w:hAnsi="Verdana"/>
                <w:sz w:val="15"/>
                <w:szCs w:val="15"/>
              </w:rPr>
            </w:pPr>
            <w:r w:rsidRPr="00BC2D08">
              <w:rPr>
                <w:rFonts w:ascii="Verdana" w:hAnsi="Verdana"/>
                <w:sz w:val="15"/>
                <w:szCs w:val="15"/>
              </w:rPr>
              <w:t>Approve subject to Shareholder consent</w:t>
            </w:r>
          </w:p>
        </w:tc>
        <w:tc>
          <w:tcPr>
            <w:tcW w:w="1851" w:type="dxa"/>
            <w:vAlign w:val="center"/>
          </w:tcPr>
          <w:p w14:paraId="25BA8B8B" w14:textId="6008A5FA"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3C61FFA4" w14:textId="0A742BA2"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16990960" w14:textId="2B644FFB"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Consent</w:t>
            </w:r>
          </w:p>
        </w:tc>
        <w:tc>
          <w:tcPr>
            <w:tcW w:w="5704" w:type="dxa"/>
            <w:vMerge w:val="restart"/>
          </w:tcPr>
          <w:p w14:paraId="080976B4" w14:textId="52DEA4A8"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Under the subsidiary articles, directors are not entitled to remuneration for their services to the Company as directors or for any other service which they undertake in their capacity as a director, unless they are a non-executive director. Directors are entitled to expenses that are reasonably and properly incurred.</w:t>
            </w:r>
          </w:p>
        </w:tc>
      </w:tr>
      <w:tr w:rsidR="002E77C3" w:rsidRPr="00733988" w14:paraId="36E6338A" w14:textId="77777777" w:rsidTr="002E77C3">
        <w:tc>
          <w:tcPr>
            <w:tcW w:w="5388" w:type="dxa"/>
          </w:tcPr>
          <w:p w14:paraId="1A063E28" w14:textId="3F36B56E" w:rsidR="002E77C3" w:rsidRPr="006F38E2" w:rsidRDefault="002F21E6" w:rsidP="002F21E6">
            <w:pPr>
              <w:pStyle w:val="Recitals"/>
              <w:numPr>
                <w:ilvl w:val="0"/>
                <w:numId w:val="0"/>
              </w:numPr>
              <w:spacing w:after="0" w:line="240" w:lineRule="auto"/>
              <w:ind w:left="462" w:hanging="462"/>
              <w:jc w:val="left"/>
              <w:rPr>
                <w:rFonts w:ascii="Verdana" w:hAnsi="Verdana"/>
                <w:bCs/>
                <w:color w:val="FF0000"/>
                <w:sz w:val="18"/>
                <w:szCs w:val="18"/>
              </w:rPr>
            </w:pPr>
            <w:r>
              <w:rPr>
                <w:rFonts w:ascii="Verdana" w:hAnsi="Verdana"/>
                <w:bCs/>
                <w:sz w:val="18"/>
                <w:szCs w:val="18"/>
              </w:rPr>
              <w:t xml:space="preserve">5.12 </w:t>
            </w:r>
            <w:r w:rsidR="002E77C3" w:rsidRPr="006F38E2">
              <w:rPr>
                <w:rFonts w:ascii="Verdana" w:hAnsi="Verdana"/>
                <w:bCs/>
                <w:sz w:val="18"/>
                <w:szCs w:val="18"/>
              </w:rPr>
              <w:t>Appointment, reappointment, removal and remuneration</w:t>
            </w:r>
            <w:r w:rsidR="002E77C3" w:rsidRPr="006F38E2">
              <w:rPr>
                <w:rStyle w:val="FootnoteReference"/>
                <w:rFonts w:ascii="Verdana" w:hAnsi="Verdana"/>
                <w:bCs/>
                <w:sz w:val="18"/>
                <w:szCs w:val="18"/>
              </w:rPr>
              <w:footnoteReference w:id="16"/>
            </w:r>
            <w:r w:rsidR="002E77C3" w:rsidRPr="006F38E2">
              <w:rPr>
                <w:rFonts w:ascii="Verdana" w:hAnsi="Verdana"/>
                <w:bCs/>
                <w:sz w:val="18"/>
                <w:szCs w:val="18"/>
              </w:rPr>
              <w:t xml:space="preserve"> of statutory directors of Subsidiary (where Shareholder Consent is not required, cf. 5.10 &amp; 5.11 above) </w:t>
            </w:r>
          </w:p>
        </w:tc>
        <w:tc>
          <w:tcPr>
            <w:tcW w:w="1701" w:type="dxa"/>
            <w:vAlign w:val="center"/>
          </w:tcPr>
          <w:p w14:paraId="6D56C5ED" w14:textId="3088F57F"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34F3F981" w14:textId="113EC981"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0EB78CA1" w14:textId="3ED0C56B"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w:t>
            </w:r>
          </w:p>
        </w:tc>
        <w:tc>
          <w:tcPr>
            <w:tcW w:w="1723" w:type="dxa"/>
            <w:vAlign w:val="center"/>
          </w:tcPr>
          <w:p w14:paraId="06BAF4E4" w14:textId="04982F27" w:rsidR="002E77C3" w:rsidRPr="00BC2D08" w:rsidRDefault="002E77C3" w:rsidP="002E77C3">
            <w:pPr>
              <w:jc w:val="center"/>
              <w:rPr>
                <w:rFonts w:ascii="Verdana" w:hAnsi="Verdana"/>
                <w:sz w:val="15"/>
                <w:szCs w:val="15"/>
              </w:rPr>
            </w:pPr>
            <w:r w:rsidRPr="00BC2D08">
              <w:rPr>
                <w:rFonts w:ascii="Verdana" w:hAnsi="Verdana"/>
                <w:sz w:val="15"/>
                <w:szCs w:val="15"/>
              </w:rPr>
              <w:t xml:space="preserve">Approve </w:t>
            </w:r>
          </w:p>
        </w:tc>
        <w:tc>
          <w:tcPr>
            <w:tcW w:w="1851" w:type="dxa"/>
            <w:vAlign w:val="center"/>
          </w:tcPr>
          <w:p w14:paraId="724187EB" w14:textId="46D44841"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727492E0" w14:textId="4BFE34EF"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7D338FA9" w14:textId="10F1EF4F"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vMerge/>
          </w:tcPr>
          <w:p w14:paraId="3E1B4300" w14:textId="4E008EFF" w:rsidR="002E77C3" w:rsidRPr="00BC2D08" w:rsidRDefault="002E77C3" w:rsidP="002E77C3">
            <w:pPr>
              <w:pStyle w:val="ListParagraph"/>
              <w:ind w:left="33"/>
              <w:rPr>
                <w:rFonts w:ascii="Verdana" w:hAnsi="Verdana"/>
                <w:sz w:val="15"/>
                <w:szCs w:val="15"/>
              </w:rPr>
            </w:pPr>
          </w:p>
        </w:tc>
      </w:tr>
      <w:tr w:rsidR="002E77C3" w:rsidRPr="00733988" w14:paraId="5D246481" w14:textId="77777777" w:rsidTr="002E77C3">
        <w:tc>
          <w:tcPr>
            <w:tcW w:w="5388" w:type="dxa"/>
          </w:tcPr>
          <w:p w14:paraId="7B1D7BA9" w14:textId="337E8125" w:rsidR="002E77C3" w:rsidRPr="006F38E2" w:rsidRDefault="002F21E6" w:rsidP="002F21E6">
            <w:pPr>
              <w:pStyle w:val="Recitals"/>
              <w:numPr>
                <w:ilvl w:val="0"/>
                <w:numId w:val="0"/>
              </w:numPr>
              <w:spacing w:after="0" w:line="240" w:lineRule="auto"/>
              <w:ind w:left="462" w:hanging="462"/>
              <w:jc w:val="left"/>
              <w:rPr>
                <w:rFonts w:ascii="Verdana" w:hAnsi="Verdana"/>
                <w:bCs/>
                <w:color w:val="FF0000"/>
                <w:sz w:val="18"/>
                <w:szCs w:val="18"/>
              </w:rPr>
            </w:pPr>
            <w:r>
              <w:rPr>
                <w:rFonts w:ascii="Verdana" w:hAnsi="Verdana"/>
                <w:bCs/>
                <w:sz w:val="18"/>
                <w:szCs w:val="18"/>
              </w:rPr>
              <w:t xml:space="preserve">5.13 </w:t>
            </w:r>
            <w:r w:rsidR="002E77C3" w:rsidRPr="006F38E2">
              <w:rPr>
                <w:rFonts w:ascii="Verdana" w:hAnsi="Verdana"/>
                <w:bCs/>
                <w:sz w:val="18"/>
                <w:szCs w:val="18"/>
              </w:rPr>
              <w:t xml:space="preserve">Nomination for appointment, reappointment or removal of any statutory director who is an employee of the Group to an associated undertaking of the Group and the appointment, reappointment or removal of the Shareholder Representative to an associated undertaking </w:t>
            </w:r>
          </w:p>
        </w:tc>
        <w:tc>
          <w:tcPr>
            <w:tcW w:w="1701" w:type="dxa"/>
            <w:vAlign w:val="center"/>
          </w:tcPr>
          <w:p w14:paraId="0D507ECE" w14:textId="33326211"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641D5696" w14:textId="2EE8FD52"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548FA9B5" w14:textId="3B4AEFC8"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w:t>
            </w:r>
          </w:p>
        </w:tc>
        <w:tc>
          <w:tcPr>
            <w:tcW w:w="1723" w:type="dxa"/>
            <w:vAlign w:val="center"/>
          </w:tcPr>
          <w:p w14:paraId="4B8AB5CD" w14:textId="5A986820" w:rsidR="002E77C3" w:rsidRPr="00BC2D08" w:rsidRDefault="002E77C3" w:rsidP="002E77C3">
            <w:pPr>
              <w:jc w:val="center"/>
              <w:rPr>
                <w:rFonts w:ascii="Verdana" w:hAnsi="Verdana"/>
                <w:sz w:val="15"/>
                <w:szCs w:val="15"/>
              </w:rPr>
            </w:pPr>
            <w:r w:rsidRPr="00BC2D08">
              <w:rPr>
                <w:rFonts w:ascii="Verdana" w:hAnsi="Verdana"/>
                <w:sz w:val="15"/>
                <w:szCs w:val="15"/>
              </w:rPr>
              <w:t xml:space="preserve">- </w:t>
            </w:r>
          </w:p>
        </w:tc>
        <w:tc>
          <w:tcPr>
            <w:tcW w:w="1851" w:type="dxa"/>
            <w:vAlign w:val="center"/>
          </w:tcPr>
          <w:p w14:paraId="0DF4766E" w14:textId="58E4B6AF" w:rsidR="002E77C3" w:rsidRPr="00BC2D08" w:rsidRDefault="002E77C3" w:rsidP="002E77C3">
            <w:pPr>
              <w:jc w:val="center"/>
              <w:rPr>
                <w:rFonts w:ascii="Verdana" w:hAnsi="Verdana"/>
                <w:sz w:val="15"/>
                <w:szCs w:val="15"/>
              </w:rPr>
            </w:pPr>
            <w:r w:rsidRPr="00673B44">
              <w:rPr>
                <w:rFonts w:ascii="Verdana" w:hAnsi="Verdana"/>
                <w:color w:val="000000" w:themeColor="text1"/>
                <w:sz w:val="15"/>
                <w:szCs w:val="15"/>
              </w:rPr>
              <w:t>-</w:t>
            </w:r>
          </w:p>
        </w:tc>
        <w:tc>
          <w:tcPr>
            <w:tcW w:w="1851" w:type="dxa"/>
            <w:vAlign w:val="center"/>
          </w:tcPr>
          <w:p w14:paraId="75D3407F" w14:textId="2E33A2AC"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2" w:type="dxa"/>
            <w:vAlign w:val="center"/>
          </w:tcPr>
          <w:p w14:paraId="445E3E86" w14:textId="1F70A4AF"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6E917437" w14:textId="0C527D98" w:rsidR="002E77C3" w:rsidRPr="00BC2D08" w:rsidRDefault="002E77C3" w:rsidP="002E77C3">
            <w:pPr>
              <w:pStyle w:val="ListParagraph"/>
              <w:ind w:left="33"/>
              <w:rPr>
                <w:rFonts w:ascii="Verdana" w:hAnsi="Verdana"/>
                <w:sz w:val="15"/>
                <w:szCs w:val="15"/>
              </w:rPr>
            </w:pPr>
            <w:r w:rsidRPr="00BC2D08">
              <w:rPr>
                <w:rFonts w:ascii="Verdana" w:hAnsi="Verdana"/>
                <w:sz w:val="15"/>
                <w:szCs w:val="15"/>
              </w:rPr>
              <w:t xml:space="preserve">This applies to First Rate Exchange Services Holdings Limited. </w:t>
            </w:r>
          </w:p>
        </w:tc>
      </w:tr>
      <w:tr w:rsidR="002E77C3" w:rsidRPr="00733988" w14:paraId="6B2D2E69" w14:textId="77777777" w:rsidTr="002E77C3">
        <w:tc>
          <w:tcPr>
            <w:tcW w:w="5388" w:type="dxa"/>
          </w:tcPr>
          <w:p w14:paraId="291917E2" w14:textId="3D29A347" w:rsidR="002E77C3" w:rsidRPr="006F38E2" w:rsidRDefault="002E77C3" w:rsidP="002E77C3">
            <w:pPr>
              <w:pStyle w:val="Recitals"/>
              <w:numPr>
                <w:ilvl w:val="0"/>
                <w:numId w:val="0"/>
              </w:numPr>
              <w:spacing w:after="0" w:line="240" w:lineRule="auto"/>
              <w:ind w:left="460" w:hanging="460"/>
              <w:jc w:val="left"/>
              <w:rPr>
                <w:rFonts w:ascii="Verdana" w:hAnsi="Verdana"/>
                <w:sz w:val="18"/>
                <w:szCs w:val="18"/>
              </w:rPr>
            </w:pPr>
            <w:r w:rsidRPr="006F38E2">
              <w:rPr>
                <w:rFonts w:ascii="Verdana" w:hAnsi="Verdana"/>
                <w:sz w:val="18"/>
                <w:szCs w:val="18"/>
              </w:rPr>
              <w:t>5.1</w:t>
            </w:r>
            <w:r w:rsidR="002F21E6">
              <w:rPr>
                <w:rFonts w:ascii="Verdana" w:hAnsi="Verdana"/>
                <w:sz w:val="18"/>
                <w:szCs w:val="18"/>
              </w:rPr>
              <w:t>4</w:t>
            </w:r>
            <w:r w:rsidRPr="006F38E2">
              <w:rPr>
                <w:rFonts w:ascii="Verdana" w:hAnsi="Verdana"/>
                <w:sz w:val="18"/>
                <w:szCs w:val="18"/>
              </w:rPr>
              <w:t xml:space="preserve"> Appointment and removal of a Secretary (Article 66)</w:t>
            </w:r>
          </w:p>
        </w:tc>
        <w:tc>
          <w:tcPr>
            <w:tcW w:w="1701" w:type="dxa"/>
            <w:vAlign w:val="center"/>
          </w:tcPr>
          <w:p w14:paraId="06DEF74A" w14:textId="0FF776BB" w:rsidR="002E77C3" w:rsidRPr="00BC2D08" w:rsidRDefault="002E77C3" w:rsidP="002E77C3">
            <w:pPr>
              <w:pStyle w:val="ListParagraph"/>
              <w:ind w:left="33"/>
              <w:jc w:val="center"/>
              <w:rPr>
                <w:rFonts w:ascii="Verdana" w:hAnsi="Verdana"/>
                <w:b/>
                <w:sz w:val="15"/>
                <w:szCs w:val="15"/>
              </w:rPr>
            </w:pPr>
            <w:r w:rsidRPr="00BC2D08">
              <w:rPr>
                <w:rFonts w:ascii="Verdana" w:hAnsi="Verdana"/>
                <w:b/>
                <w:sz w:val="15"/>
                <w:szCs w:val="15"/>
              </w:rPr>
              <w:t>-</w:t>
            </w:r>
          </w:p>
        </w:tc>
        <w:tc>
          <w:tcPr>
            <w:tcW w:w="1559" w:type="dxa"/>
            <w:vAlign w:val="center"/>
          </w:tcPr>
          <w:p w14:paraId="32C175ED" w14:textId="2392AD5E"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w:t>
            </w:r>
          </w:p>
        </w:tc>
        <w:tc>
          <w:tcPr>
            <w:tcW w:w="1477" w:type="dxa"/>
            <w:vAlign w:val="center"/>
          </w:tcPr>
          <w:p w14:paraId="42D5C6BC" w14:textId="689ACEAE"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b/>
                <w:sz w:val="15"/>
                <w:szCs w:val="15"/>
              </w:rPr>
              <w:t>-</w:t>
            </w:r>
          </w:p>
        </w:tc>
        <w:tc>
          <w:tcPr>
            <w:tcW w:w="1723" w:type="dxa"/>
            <w:vAlign w:val="center"/>
          </w:tcPr>
          <w:p w14:paraId="332AC0DC" w14:textId="0A470616" w:rsidR="002E77C3" w:rsidRPr="00BC2D08" w:rsidRDefault="002E77C3" w:rsidP="002E77C3">
            <w:pPr>
              <w:jc w:val="center"/>
              <w:rPr>
                <w:rFonts w:ascii="Verdana" w:hAnsi="Verdana"/>
                <w:sz w:val="15"/>
                <w:szCs w:val="15"/>
              </w:rPr>
            </w:pPr>
            <w:r w:rsidRPr="00BC2D08">
              <w:rPr>
                <w:rFonts w:ascii="Verdana" w:hAnsi="Verdana"/>
                <w:sz w:val="15"/>
                <w:szCs w:val="15"/>
              </w:rPr>
              <w:t>-</w:t>
            </w:r>
          </w:p>
        </w:tc>
        <w:tc>
          <w:tcPr>
            <w:tcW w:w="1851" w:type="dxa"/>
            <w:vAlign w:val="center"/>
          </w:tcPr>
          <w:p w14:paraId="455AB224" w14:textId="65C84C02" w:rsidR="002E77C3" w:rsidRPr="00BC2D08" w:rsidRDefault="002E77C3" w:rsidP="002E77C3">
            <w:pPr>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17902CA1" w14:textId="266D2CC1" w:rsidR="002E77C3" w:rsidRPr="00BC2D08" w:rsidRDefault="002E77C3" w:rsidP="002E77C3">
            <w:pPr>
              <w:jc w:val="center"/>
              <w:rPr>
                <w:rFonts w:ascii="Verdana" w:hAnsi="Verdana"/>
                <w:sz w:val="15"/>
                <w:szCs w:val="15"/>
              </w:rPr>
            </w:pPr>
            <w:r w:rsidRPr="00BC2D08">
              <w:rPr>
                <w:rFonts w:ascii="Verdana" w:hAnsi="Verdana"/>
                <w:sz w:val="15"/>
                <w:szCs w:val="15"/>
              </w:rPr>
              <w:t>Approve</w:t>
            </w:r>
          </w:p>
        </w:tc>
        <w:tc>
          <w:tcPr>
            <w:tcW w:w="1852" w:type="dxa"/>
            <w:vAlign w:val="center"/>
          </w:tcPr>
          <w:p w14:paraId="110CE4CC" w14:textId="1060F464"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36B22473" w14:textId="225A6B77" w:rsidR="002E77C3" w:rsidRPr="00BC2D08" w:rsidRDefault="002E77C3" w:rsidP="002E77C3">
            <w:pPr>
              <w:pStyle w:val="ListParagraph"/>
              <w:ind w:left="34"/>
              <w:rPr>
                <w:rFonts w:ascii="Verdana" w:hAnsi="Verdana"/>
                <w:sz w:val="15"/>
                <w:szCs w:val="15"/>
              </w:rPr>
            </w:pPr>
            <w:r w:rsidRPr="00BC2D08">
              <w:rPr>
                <w:rFonts w:ascii="Verdana" w:hAnsi="Verdana"/>
                <w:sz w:val="15"/>
                <w:szCs w:val="15"/>
              </w:rPr>
              <w:t xml:space="preserve">The appointed Secretary shall be the Group Company Secretary. </w:t>
            </w:r>
          </w:p>
        </w:tc>
      </w:tr>
      <w:tr w:rsidR="002E77C3" w:rsidRPr="00733988" w14:paraId="64B45360" w14:textId="77777777" w:rsidTr="002E77C3">
        <w:tc>
          <w:tcPr>
            <w:tcW w:w="5388" w:type="dxa"/>
          </w:tcPr>
          <w:p w14:paraId="6610EEA9" w14:textId="502F31EB" w:rsidR="002E77C3" w:rsidRPr="006F38E2" w:rsidRDefault="002E77C3" w:rsidP="002E77C3">
            <w:pPr>
              <w:pStyle w:val="Recitals"/>
              <w:numPr>
                <w:ilvl w:val="0"/>
                <w:numId w:val="0"/>
              </w:numPr>
              <w:spacing w:after="0" w:line="240" w:lineRule="auto"/>
              <w:ind w:left="460" w:hanging="460"/>
              <w:jc w:val="left"/>
              <w:rPr>
                <w:rFonts w:ascii="Verdana" w:hAnsi="Verdana"/>
                <w:sz w:val="18"/>
                <w:szCs w:val="18"/>
              </w:rPr>
            </w:pPr>
            <w:r w:rsidRPr="006F38E2">
              <w:rPr>
                <w:rFonts w:ascii="Verdana" w:hAnsi="Verdana"/>
                <w:sz w:val="18"/>
                <w:szCs w:val="18"/>
              </w:rPr>
              <w:t>5.1</w:t>
            </w:r>
            <w:r w:rsidR="002F21E6">
              <w:rPr>
                <w:rFonts w:ascii="Verdana" w:hAnsi="Verdana"/>
                <w:sz w:val="18"/>
                <w:szCs w:val="18"/>
              </w:rPr>
              <w:t>5</w:t>
            </w:r>
            <w:r w:rsidRPr="006F38E2">
              <w:rPr>
                <w:rFonts w:ascii="Verdana" w:hAnsi="Verdana"/>
                <w:sz w:val="18"/>
                <w:szCs w:val="18"/>
              </w:rPr>
              <w:t xml:space="preserve"> Appointment, reappointment or removal of the Group’s principal professional advisors</w:t>
            </w:r>
            <w:r w:rsidRPr="006F38E2">
              <w:rPr>
                <w:rStyle w:val="FootnoteReference"/>
                <w:rFonts w:ascii="Verdana" w:hAnsi="Verdana"/>
                <w:sz w:val="18"/>
                <w:szCs w:val="18"/>
              </w:rPr>
              <w:footnoteReference w:id="17"/>
            </w:r>
            <w:r w:rsidRPr="006F38E2">
              <w:rPr>
                <w:rFonts w:ascii="Verdana" w:hAnsi="Verdana"/>
                <w:sz w:val="18"/>
                <w:szCs w:val="18"/>
              </w:rPr>
              <w:t xml:space="preserve"> </w:t>
            </w:r>
          </w:p>
        </w:tc>
        <w:tc>
          <w:tcPr>
            <w:tcW w:w="1701" w:type="dxa"/>
            <w:vAlign w:val="center"/>
          </w:tcPr>
          <w:p w14:paraId="6BF53F9F" w14:textId="4162AB77" w:rsidR="002E77C3" w:rsidRDefault="002E77C3" w:rsidP="002E77C3">
            <w:pPr>
              <w:pStyle w:val="ListParagraph"/>
              <w:ind w:left="33"/>
              <w:jc w:val="center"/>
              <w:rPr>
                <w:rFonts w:ascii="Verdana" w:hAnsi="Verdana"/>
                <w:b/>
                <w:sz w:val="18"/>
              </w:rPr>
            </w:pPr>
            <w:r w:rsidRPr="0036294D">
              <w:rPr>
                <w:rFonts w:ascii="Verdana" w:hAnsi="Verdana"/>
                <w:sz w:val="16"/>
                <w:szCs w:val="16"/>
              </w:rPr>
              <w:t>Approve for recommendation to POL Board</w:t>
            </w:r>
          </w:p>
        </w:tc>
        <w:tc>
          <w:tcPr>
            <w:tcW w:w="1559" w:type="dxa"/>
            <w:vAlign w:val="center"/>
          </w:tcPr>
          <w:p w14:paraId="3A96B2B2" w14:textId="0158D8CA" w:rsidR="002E77C3" w:rsidRDefault="002E77C3" w:rsidP="002E77C3">
            <w:pPr>
              <w:pStyle w:val="ListParagraph"/>
              <w:ind w:left="0"/>
              <w:jc w:val="center"/>
              <w:rPr>
                <w:rFonts w:ascii="Verdana" w:hAnsi="Verdana"/>
                <w:sz w:val="18"/>
              </w:rPr>
            </w:pPr>
            <w:r>
              <w:rPr>
                <w:rFonts w:ascii="Verdana" w:hAnsi="Verdana"/>
                <w:sz w:val="18"/>
              </w:rPr>
              <w:t>-</w:t>
            </w:r>
          </w:p>
        </w:tc>
        <w:tc>
          <w:tcPr>
            <w:tcW w:w="1477" w:type="dxa"/>
            <w:vAlign w:val="center"/>
          </w:tcPr>
          <w:p w14:paraId="42521AED" w14:textId="4881732E" w:rsidR="002E77C3" w:rsidRPr="00F95939" w:rsidRDefault="002E77C3" w:rsidP="002E77C3">
            <w:pPr>
              <w:pStyle w:val="ListParagraph"/>
              <w:ind w:left="0"/>
              <w:jc w:val="center"/>
              <w:rPr>
                <w:rFonts w:ascii="Verdana" w:hAnsi="Verdana"/>
                <w:color w:val="000000" w:themeColor="text1"/>
                <w:sz w:val="16"/>
              </w:rPr>
            </w:pPr>
            <w:r w:rsidRPr="00F95939">
              <w:rPr>
                <w:rFonts w:ascii="Verdana" w:hAnsi="Verdana"/>
                <w:color w:val="000000" w:themeColor="text1"/>
                <w:sz w:val="16"/>
              </w:rPr>
              <w:t>-</w:t>
            </w:r>
          </w:p>
        </w:tc>
        <w:tc>
          <w:tcPr>
            <w:tcW w:w="1723" w:type="dxa"/>
            <w:vAlign w:val="center"/>
          </w:tcPr>
          <w:p w14:paraId="3FB36ABA" w14:textId="24C428A7" w:rsidR="002E77C3" w:rsidRDefault="002E77C3" w:rsidP="002E77C3">
            <w:pPr>
              <w:jc w:val="center"/>
              <w:rPr>
                <w:rFonts w:ascii="Verdana" w:hAnsi="Verdana"/>
                <w:sz w:val="16"/>
              </w:rPr>
            </w:pPr>
            <w:r w:rsidRPr="00F95939">
              <w:rPr>
                <w:rFonts w:ascii="Verdana" w:hAnsi="Verdana"/>
                <w:color w:val="000000" w:themeColor="text1"/>
                <w:sz w:val="16"/>
              </w:rPr>
              <w:t>-</w:t>
            </w:r>
          </w:p>
        </w:tc>
        <w:tc>
          <w:tcPr>
            <w:tcW w:w="1851" w:type="dxa"/>
            <w:vAlign w:val="center"/>
          </w:tcPr>
          <w:p w14:paraId="6564500A" w14:textId="5018DCF1" w:rsidR="002E77C3" w:rsidRDefault="002E77C3" w:rsidP="002E77C3">
            <w:pPr>
              <w:jc w:val="center"/>
              <w:rPr>
                <w:rFonts w:ascii="Verdana" w:hAnsi="Verdana"/>
                <w:sz w:val="16"/>
              </w:rPr>
            </w:pPr>
            <w:r w:rsidRPr="00244A6A">
              <w:rPr>
                <w:rFonts w:ascii="Verdana" w:hAnsi="Verdana"/>
                <w:color w:val="000000" w:themeColor="text1"/>
                <w:sz w:val="15"/>
                <w:szCs w:val="15"/>
              </w:rPr>
              <w:t>-</w:t>
            </w:r>
          </w:p>
        </w:tc>
        <w:tc>
          <w:tcPr>
            <w:tcW w:w="1851" w:type="dxa"/>
            <w:vAlign w:val="center"/>
          </w:tcPr>
          <w:p w14:paraId="3C33BEA6" w14:textId="2CAF8A95" w:rsidR="002E77C3" w:rsidRDefault="002E77C3" w:rsidP="002E77C3">
            <w:pPr>
              <w:jc w:val="center"/>
              <w:rPr>
                <w:rFonts w:ascii="Verdana" w:hAnsi="Verdana"/>
                <w:sz w:val="16"/>
              </w:rPr>
            </w:pPr>
            <w:r>
              <w:rPr>
                <w:rFonts w:ascii="Verdana" w:hAnsi="Verdana"/>
                <w:sz w:val="16"/>
              </w:rPr>
              <w:t>Approve</w:t>
            </w:r>
          </w:p>
        </w:tc>
        <w:tc>
          <w:tcPr>
            <w:tcW w:w="1852" w:type="dxa"/>
            <w:vAlign w:val="center"/>
          </w:tcPr>
          <w:p w14:paraId="2825BBBA" w14:textId="5A9909CC" w:rsidR="002E77C3" w:rsidRPr="0036294D" w:rsidRDefault="002E77C3" w:rsidP="002E77C3">
            <w:pPr>
              <w:pStyle w:val="ListParagraph"/>
              <w:ind w:left="33"/>
              <w:jc w:val="center"/>
              <w:rPr>
                <w:rFonts w:ascii="Verdana" w:hAnsi="Verdana"/>
                <w:sz w:val="16"/>
              </w:rPr>
            </w:pPr>
            <w:r>
              <w:rPr>
                <w:rFonts w:ascii="Verdana" w:hAnsi="Verdana"/>
                <w:sz w:val="16"/>
              </w:rPr>
              <w:t>-</w:t>
            </w:r>
          </w:p>
        </w:tc>
        <w:tc>
          <w:tcPr>
            <w:tcW w:w="5704" w:type="dxa"/>
          </w:tcPr>
          <w:p w14:paraId="4A9F84BE" w14:textId="327B2A55" w:rsidR="002E77C3" w:rsidRDefault="002E77C3" w:rsidP="002E77C3">
            <w:pPr>
              <w:pStyle w:val="ListParagraph"/>
              <w:ind w:left="34"/>
              <w:rPr>
                <w:rFonts w:ascii="Verdana" w:hAnsi="Verdana"/>
                <w:b/>
                <w:sz w:val="18"/>
              </w:rPr>
            </w:pPr>
          </w:p>
        </w:tc>
      </w:tr>
      <w:tr w:rsidR="002E77C3" w:rsidRPr="00733988" w14:paraId="2B6D67B6" w14:textId="77777777" w:rsidTr="002E77C3">
        <w:trPr>
          <w:trHeight w:val="639"/>
        </w:trPr>
        <w:tc>
          <w:tcPr>
            <w:tcW w:w="5388" w:type="dxa"/>
          </w:tcPr>
          <w:p w14:paraId="41854D70" w14:textId="7A540EDA" w:rsidR="002E77C3" w:rsidRDefault="002E77C3" w:rsidP="002E77C3">
            <w:pPr>
              <w:ind w:left="460" w:right="96" w:hanging="460"/>
              <w:rPr>
                <w:rFonts w:ascii="Verdana" w:hAnsi="Verdana"/>
                <w:bCs/>
                <w:color w:val="FF0000"/>
                <w:sz w:val="18"/>
                <w:szCs w:val="18"/>
              </w:rPr>
            </w:pPr>
            <w:r w:rsidRPr="006F38E2">
              <w:rPr>
                <w:rFonts w:ascii="Verdana" w:hAnsi="Verdana"/>
                <w:sz w:val="18"/>
                <w:szCs w:val="18"/>
              </w:rPr>
              <w:t>5.1</w:t>
            </w:r>
            <w:r w:rsidR="002F21E6">
              <w:rPr>
                <w:rFonts w:ascii="Verdana" w:hAnsi="Verdana"/>
                <w:sz w:val="18"/>
                <w:szCs w:val="18"/>
              </w:rPr>
              <w:t>6</w:t>
            </w:r>
            <w:r w:rsidRPr="006F38E2">
              <w:rPr>
                <w:rFonts w:ascii="Verdana" w:hAnsi="Verdana"/>
                <w:sz w:val="18"/>
                <w:szCs w:val="18"/>
              </w:rPr>
              <w:t xml:space="preserve"> Approval of the appointment of external facilitators for Board and Committee evaluations.</w:t>
            </w:r>
            <w:r w:rsidRPr="006F38E2">
              <w:rPr>
                <w:rFonts w:ascii="Verdana" w:hAnsi="Verdana"/>
                <w:bCs/>
                <w:color w:val="FF0000"/>
                <w:sz w:val="18"/>
                <w:szCs w:val="18"/>
              </w:rPr>
              <w:t xml:space="preserve"> </w:t>
            </w:r>
          </w:p>
          <w:p w14:paraId="0F46DF33" w14:textId="77777777" w:rsidR="002E77C3" w:rsidRDefault="002E77C3" w:rsidP="002E77C3">
            <w:pPr>
              <w:ind w:left="460" w:right="96" w:hanging="460"/>
              <w:rPr>
                <w:rFonts w:ascii="Verdana" w:hAnsi="Verdana"/>
                <w:bCs/>
                <w:color w:val="FF0000"/>
                <w:sz w:val="18"/>
                <w:szCs w:val="18"/>
              </w:rPr>
            </w:pPr>
          </w:p>
          <w:p w14:paraId="38CC3BE0" w14:textId="0A7C8F92" w:rsidR="002E77C3" w:rsidRPr="006F38E2" w:rsidRDefault="002E77C3" w:rsidP="002E77C3">
            <w:pPr>
              <w:ind w:left="460" w:right="96" w:hanging="460"/>
              <w:rPr>
                <w:rFonts w:ascii="Verdana" w:hAnsi="Verdana"/>
                <w:sz w:val="18"/>
                <w:szCs w:val="18"/>
              </w:rPr>
            </w:pPr>
          </w:p>
        </w:tc>
        <w:tc>
          <w:tcPr>
            <w:tcW w:w="1701" w:type="dxa"/>
            <w:vAlign w:val="center"/>
          </w:tcPr>
          <w:p w14:paraId="623814AA" w14:textId="357903DE"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lastRenderedPageBreak/>
              <w:t>-</w:t>
            </w:r>
          </w:p>
        </w:tc>
        <w:tc>
          <w:tcPr>
            <w:tcW w:w="1559" w:type="dxa"/>
            <w:vAlign w:val="center"/>
          </w:tcPr>
          <w:p w14:paraId="1C7DA310" w14:textId="7E963BEE" w:rsidR="002E77C3" w:rsidRPr="00BC2D08" w:rsidRDefault="002E77C3" w:rsidP="002E77C3">
            <w:pPr>
              <w:pStyle w:val="ListParagraph"/>
              <w:ind w:left="0"/>
              <w:jc w:val="center"/>
              <w:rPr>
                <w:rFonts w:ascii="Verdana" w:hAnsi="Verdana"/>
                <w:sz w:val="15"/>
                <w:szCs w:val="15"/>
              </w:rPr>
            </w:pPr>
            <w:r w:rsidRPr="00BC2D08">
              <w:rPr>
                <w:rFonts w:ascii="Verdana" w:hAnsi="Verdana"/>
                <w:color w:val="00B050"/>
                <w:sz w:val="15"/>
                <w:szCs w:val="15"/>
              </w:rPr>
              <w:t>-</w:t>
            </w:r>
          </w:p>
        </w:tc>
        <w:tc>
          <w:tcPr>
            <w:tcW w:w="1477" w:type="dxa"/>
            <w:vAlign w:val="center"/>
          </w:tcPr>
          <w:p w14:paraId="1AE56678" w14:textId="6D5027B0"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Approve</w:t>
            </w:r>
          </w:p>
        </w:tc>
        <w:tc>
          <w:tcPr>
            <w:tcW w:w="1723" w:type="dxa"/>
            <w:vAlign w:val="center"/>
          </w:tcPr>
          <w:p w14:paraId="10C65C1E" w14:textId="21C4F586" w:rsidR="002E77C3" w:rsidRPr="00BC2D08" w:rsidRDefault="002E77C3" w:rsidP="002E77C3">
            <w:pPr>
              <w:jc w:val="center"/>
              <w:rPr>
                <w:rFonts w:ascii="Verdana" w:hAnsi="Verdana"/>
                <w:b/>
                <w:sz w:val="15"/>
                <w:szCs w:val="15"/>
              </w:rPr>
            </w:pPr>
            <w:r w:rsidRPr="00BC2D08">
              <w:rPr>
                <w:rFonts w:ascii="Verdana" w:hAnsi="Verdana"/>
                <w:sz w:val="15"/>
                <w:szCs w:val="15"/>
              </w:rPr>
              <w:t>-</w:t>
            </w:r>
          </w:p>
        </w:tc>
        <w:tc>
          <w:tcPr>
            <w:tcW w:w="1851" w:type="dxa"/>
            <w:vAlign w:val="center"/>
          </w:tcPr>
          <w:p w14:paraId="0507379D" w14:textId="64E0D8D3" w:rsidR="002E77C3" w:rsidRPr="00BC2D08" w:rsidRDefault="002E77C3" w:rsidP="002E77C3">
            <w:pPr>
              <w:jc w:val="center"/>
              <w:rPr>
                <w:rFonts w:ascii="Verdana" w:hAnsi="Verdana"/>
                <w:b/>
                <w:sz w:val="15"/>
                <w:szCs w:val="15"/>
              </w:rPr>
            </w:pPr>
            <w:r w:rsidRPr="00244A6A">
              <w:rPr>
                <w:rFonts w:ascii="Verdana" w:hAnsi="Verdana"/>
                <w:color w:val="000000" w:themeColor="text1"/>
                <w:sz w:val="15"/>
                <w:szCs w:val="15"/>
              </w:rPr>
              <w:t>-</w:t>
            </w:r>
          </w:p>
        </w:tc>
        <w:tc>
          <w:tcPr>
            <w:tcW w:w="1851" w:type="dxa"/>
            <w:vAlign w:val="center"/>
          </w:tcPr>
          <w:p w14:paraId="1AC7A89D" w14:textId="3C50DBA6" w:rsidR="002E77C3" w:rsidRPr="00BC2D08" w:rsidRDefault="002E77C3" w:rsidP="002E77C3">
            <w:pPr>
              <w:jc w:val="center"/>
              <w:rPr>
                <w:rFonts w:ascii="Verdana" w:hAnsi="Verdana"/>
                <w:sz w:val="15"/>
                <w:szCs w:val="15"/>
              </w:rPr>
            </w:pPr>
            <w:r w:rsidRPr="00BC2D08">
              <w:rPr>
                <w:rFonts w:ascii="Verdana" w:hAnsi="Verdana"/>
                <w:b/>
                <w:sz w:val="15"/>
                <w:szCs w:val="15"/>
              </w:rPr>
              <w:t>-</w:t>
            </w:r>
          </w:p>
        </w:tc>
        <w:tc>
          <w:tcPr>
            <w:tcW w:w="1852" w:type="dxa"/>
            <w:vAlign w:val="center"/>
          </w:tcPr>
          <w:p w14:paraId="789C5923" w14:textId="0E527ED0"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21148635" w14:textId="3B986765" w:rsidR="002E77C3" w:rsidRPr="00BC2D08" w:rsidRDefault="002E77C3" w:rsidP="002E77C3">
            <w:pPr>
              <w:pStyle w:val="ListParagraph"/>
              <w:ind w:left="34"/>
              <w:rPr>
                <w:rFonts w:ascii="Verdana" w:hAnsi="Verdana"/>
                <w:b/>
                <w:sz w:val="15"/>
                <w:szCs w:val="15"/>
              </w:rPr>
            </w:pPr>
          </w:p>
        </w:tc>
      </w:tr>
      <w:tr w:rsidR="000E2A31" w:rsidRPr="00733988" w14:paraId="2D5863B1" w14:textId="77777777" w:rsidTr="00D87A87">
        <w:trPr>
          <w:trHeight w:val="365"/>
        </w:trPr>
        <w:tc>
          <w:tcPr>
            <w:tcW w:w="23106" w:type="dxa"/>
            <w:gridSpan w:val="9"/>
            <w:shd w:val="clear" w:color="auto" w:fill="D0CECE" w:themeFill="background2" w:themeFillShade="E6"/>
          </w:tcPr>
          <w:p w14:paraId="21113CDB" w14:textId="0F5D6C76" w:rsidR="000E2A31" w:rsidRPr="000E2A31" w:rsidRDefault="000E2A31" w:rsidP="000E2A31">
            <w:pPr>
              <w:pStyle w:val="ListParagraph"/>
              <w:numPr>
                <w:ilvl w:val="0"/>
                <w:numId w:val="37"/>
              </w:numPr>
              <w:rPr>
                <w:rFonts w:ascii="Verdana" w:hAnsi="Verdana"/>
                <w:b/>
                <w:sz w:val="18"/>
                <w:szCs w:val="18"/>
              </w:rPr>
            </w:pPr>
            <w:r w:rsidRPr="000E2A31">
              <w:rPr>
                <w:rFonts w:ascii="Verdana" w:hAnsi="Verdana"/>
                <w:b/>
                <w:sz w:val="18"/>
                <w:szCs w:val="18"/>
              </w:rPr>
              <w:t>Governance</w:t>
            </w:r>
          </w:p>
        </w:tc>
      </w:tr>
      <w:tr w:rsidR="002E77C3" w:rsidRPr="00733988" w14:paraId="020EBF80" w14:textId="77777777" w:rsidTr="002E77C3">
        <w:tc>
          <w:tcPr>
            <w:tcW w:w="5388" w:type="dxa"/>
          </w:tcPr>
          <w:p w14:paraId="2E905DAC" w14:textId="60609C63" w:rsidR="002E77C3" w:rsidRPr="006F38E2" w:rsidRDefault="002E77C3" w:rsidP="002E77C3">
            <w:pPr>
              <w:ind w:left="460" w:hanging="460"/>
              <w:rPr>
                <w:rFonts w:ascii="Verdana" w:hAnsi="Verdana"/>
                <w:color w:val="00B050"/>
                <w:sz w:val="18"/>
                <w:szCs w:val="18"/>
              </w:rPr>
            </w:pPr>
            <w:r w:rsidRPr="006F38E2">
              <w:rPr>
                <w:rFonts w:ascii="Verdana" w:hAnsi="Verdana"/>
                <w:sz w:val="18"/>
                <w:szCs w:val="18"/>
              </w:rPr>
              <w:t>6.1 Any change to the prescribed minimum number directors of the company (Article 8.1 A (B))</w:t>
            </w:r>
          </w:p>
        </w:tc>
        <w:tc>
          <w:tcPr>
            <w:tcW w:w="1701" w:type="dxa"/>
            <w:vAlign w:val="center"/>
          </w:tcPr>
          <w:p w14:paraId="3A0ECA1C" w14:textId="1C196615"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b/>
                <w:sz w:val="15"/>
                <w:szCs w:val="15"/>
              </w:rPr>
              <w:t>-</w:t>
            </w:r>
          </w:p>
        </w:tc>
        <w:tc>
          <w:tcPr>
            <w:tcW w:w="1559" w:type="dxa"/>
            <w:vAlign w:val="center"/>
          </w:tcPr>
          <w:p w14:paraId="646C725B" w14:textId="520F7C0D"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b/>
                <w:sz w:val="15"/>
                <w:szCs w:val="15"/>
              </w:rPr>
              <w:t>-</w:t>
            </w:r>
          </w:p>
        </w:tc>
        <w:tc>
          <w:tcPr>
            <w:tcW w:w="1477" w:type="dxa"/>
            <w:vAlign w:val="center"/>
          </w:tcPr>
          <w:p w14:paraId="2F6BF343" w14:textId="310D9B8A"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w:t>
            </w:r>
          </w:p>
        </w:tc>
        <w:tc>
          <w:tcPr>
            <w:tcW w:w="1723" w:type="dxa"/>
            <w:vAlign w:val="center"/>
          </w:tcPr>
          <w:p w14:paraId="3890D1DB" w14:textId="77777777" w:rsidR="002E77C3" w:rsidRPr="00BC2D08" w:rsidRDefault="002E77C3" w:rsidP="002E77C3">
            <w:pPr>
              <w:pStyle w:val="ListParagraph"/>
              <w:ind w:left="34"/>
              <w:jc w:val="center"/>
              <w:rPr>
                <w:rFonts w:ascii="Verdana" w:hAnsi="Verdana"/>
                <w:sz w:val="15"/>
                <w:szCs w:val="15"/>
              </w:rPr>
            </w:pPr>
          </w:p>
        </w:tc>
        <w:tc>
          <w:tcPr>
            <w:tcW w:w="1851" w:type="dxa"/>
            <w:vAlign w:val="center"/>
          </w:tcPr>
          <w:p w14:paraId="49D01810" w14:textId="20EAF73D"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1200E56C" w14:textId="223441E1" w:rsidR="002E77C3" w:rsidRPr="00BC2D08" w:rsidRDefault="002E77C3" w:rsidP="002E77C3">
            <w:pPr>
              <w:pStyle w:val="ListParagraph"/>
              <w:ind w:left="34"/>
              <w:jc w:val="center"/>
              <w:rPr>
                <w:rFonts w:ascii="Verdana" w:hAnsi="Verdana"/>
                <w:color w:val="00B050"/>
                <w:sz w:val="15"/>
                <w:szCs w:val="15"/>
              </w:rPr>
            </w:pPr>
            <w:r w:rsidRPr="00BC2D08">
              <w:rPr>
                <w:rFonts w:ascii="Verdana" w:hAnsi="Verdana"/>
                <w:sz w:val="15"/>
                <w:szCs w:val="15"/>
              </w:rPr>
              <w:t>Approve subject to Shareholder consent</w:t>
            </w:r>
          </w:p>
        </w:tc>
        <w:tc>
          <w:tcPr>
            <w:tcW w:w="1852" w:type="dxa"/>
            <w:vAlign w:val="center"/>
          </w:tcPr>
          <w:p w14:paraId="1247BBB9" w14:textId="77777777" w:rsidR="002E77C3" w:rsidRPr="00BC2D08" w:rsidRDefault="002E77C3" w:rsidP="002E77C3">
            <w:pPr>
              <w:pStyle w:val="ListParagraph"/>
              <w:ind w:left="33"/>
              <w:jc w:val="center"/>
              <w:rPr>
                <w:rFonts w:ascii="Verdana" w:hAnsi="Verdana"/>
                <w:color w:val="00B050"/>
                <w:sz w:val="15"/>
                <w:szCs w:val="15"/>
              </w:rPr>
            </w:pPr>
          </w:p>
          <w:p w14:paraId="476E1F8C" w14:textId="7805D19F" w:rsidR="002E77C3" w:rsidRPr="00BC2D08" w:rsidRDefault="002E77C3" w:rsidP="002E77C3">
            <w:pPr>
              <w:pStyle w:val="ListParagraph"/>
              <w:ind w:left="33"/>
              <w:jc w:val="center"/>
              <w:rPr>
                <w:rFonts w:ascii="Verdana" w:hAnsi="Verdana"/>
                <w:color w:val="00B050"/>
                <w:sz w:val="15"/>
                <w:szCs w:val="15"/>
              </w:rPr>
            </w:pPr>
            <w:r w:rsidRPr="00BC2D08">
              <w:rPr>
                <w:rFonts w:ascii="Verdana" w:hAnsi="Verdana"/>
                <w:sz w:val="15"/>
                <w:szCs w:val="15"/>
              </w:rPr>
              <w:t>Consent</w:t>
            </w:r>
          </w:p>
        </w:tc>
        <w:tc>
          <w:tcPr>
            <w:tcW w:w="5704" w:type="dxa"/>
          </w:tcPr>
          <w:p w14:paraId="66BD2A5A" w14:textId="64746557" w:rsidR="002E77C3" w:rsidRPr="00BC2D08" w:rsidRDefault="002E77C3" w:rsidP="002E77C3">
            <w:pPr>
              <w:pStyle w:val="ListParagraph"/>
              <w:ind w:left="33"/>
              <w:jc w:val="center"/>
              <w:rPr>
                <w:rFonts w:ascii="Verdana" w:hAnsi="Verdana"/>
                <w:b/>
                <w:sz w:val="15"/>
                <w:szCs w:val="15"/>
              </w:rPr>
            </w:pPr>
          </w:p>
        </w:tc>
      </w:tr>
      <w:tr w:rsidR="002E77C3" w:rsidRPr="00733988" w14:paraId="543B3EC8" w14:textId="77777777" w:rsidTr="002E77C3">
        <w:tc>
          <w:tcPr>
            <w:tcW w:w="5388" w:type="dxa"/>
          </w:tcPr>
          <w:p w14:paraId="7B191D56" w14:textId="473F5A34" w:rsidR="002E77C3" w:rsidRPr="00293544" w:rsidRDefault="002E77C3" w:rsidP="002E77C3">
            <w:pPr>
              <w:ind w:left="459" w:hanging="459"/>
              <w:rPr>
                <w:rFonts w:ascii="Verdana" w:hAnsi="Verdana"/>
                <w:sz w:val="18"/>
                <w:szCs w:val="18"/>
                <w:highlight w:val="yellow"/>
              </w:rPr>
            </w:pPr>
            <w:r w:rsidRPr="00293544">
              <w:rPr>
                <w:rFonts w:ascii="Verdana" w:hAnsi="Verdana"/>
                <w:sz w:val="18"/>
                <w:szCs w:val="18"/>
              </w:rPr>
              <w:t>6.</w:t>
            </w:r>
            <w:r>
              <w:rPr>
                <w:rFonts w:ascii="Verdana" w:hAnsi="Verdana"/>
                <w:sz w:val="18"/>
                <w:szCs w:val="18"/>
              </w:rPr>
              <w:t>2</w:t>
            </w:r>
            <w:r w:rsidRPr="00293544">
              <w:rPr>
                <w:rFonts w:ascii="Verdana" w:hAnsi="Verdana"/>
                <w:sz w:val="18"/>
                <w:szCs w:val="18"/>
              </w:rPr>
              <w:t xml:space="preserve">  Authorisation of Conflicts of Interest </w:t>
            </w:r>
            <w:r>
              <w:rPr>
                <w:rFonts w:ascii="Verdana" w:hAnsi="Verdana"/>
                <w:sz w:val="18"/>
                <w:szCs w:val="18"/>
              </w:rPr>
              <w:t xml:space="preserve">for Board Directors </w:t>
            </w:r>
            <w:r w:rsidRPr="00293544">
              <w:rPr>
                <w:rFonts w:ascii="Verdana" w:hAnsi="Verdana"/>
                <w:sz w:val="18"/>
                <w:szCs w:val="18"/>
              </w:rPr>
              <w:t>(Article 54)</w:t>
            </w:r>
          </w:p>
        </w:tc>
        <w:tc>
          <w:tcPr>
            <w:tcW w:w="1701" w:type="dxa"/>
            <w:vAlign w:val="center"/>
          </w:tcPr>
          <w:p w14:paraId="2BFD3B94" w14:textId="4D8C0054"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b/>
                <w:sz w:val="15"/>
                <w:szCs w:val="15"/>
              </w:rPr>
              <w:t>-</w:t>
            </w:r>
          </w:p>
        </w:tc>
        <w:tc>
          <w:tcPr>
            <w:tcW w:w="1559" w:type="dxa"/>
            <w:vAlign w:val="center"/>
          </w:tcPr>
          <w:p w14:paraId="2CE36F7D" w14:textId="4C551BD4"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b/>
                <w:sz w:val="15"/>
                <w:szCs w:val="15"/>
              </w:rPr>
              <w:t>-</w:t>
            </w:r>
          </w:p>
        </w:tc>
        <w:tc>
          <w:tcPr>
            <w:tcW w:w="1477" w:type="dxa"/>
            <w:vAlign w:val="center"/>
          </w:tcPr>
          <w:p w14:paraId="2C38D645" w14:textId="78196D1A"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b/>
                <w:sz w:val="15"/>
                <w:szCs w:val="15"/>
              </w:rPr>
              <w:t>-</w:t>
            </w:r>
          </w:p>
        </w:tc>
        <w:tc>
          <w:tcPr>
            <w:tcW w:w="1723" w:type="dxa"/>
            <w:vAlign w:val="center"/>
          </w:tcPr>
          <w:p w14:paraId="0172FCA2" w14:textId="41FD0640" w:rsidR="002E77C3" w:rsidRPr="00BC2D08" w:rsidRDefault="002E77C3" w:rsidP="002E77C3">
            <w:pPr>
              <w:pStyle w:val="ListParagraph"/>
              <w:ind w:left="34"/>
              <w:jc w:val="center"/>
              <w:rPr>
                <w:rFonts w:ascii="Verdana" w:hAnsi="Verdana"/>
                <w:sz w:val="15"/>
                <w:szCs w:val="15"/>
              </w:rPr>
            </w:pPr>
            <w:r w:rsidRPr="00BC2D08">
              <w:rPr>
                <w:rFonts w:ascii="Verdana" w:hAnsi="Verdana"/>
                <w:b/>
                <w:sz w:val="15"/>
                <w:szCs w:val="15"/>
              </w:rPr>
              <w:t>-</w:t>
            </w:r>
          </w:p>
        </w:tc>
        <w:tc>
          <w:tcPr>
            <w:tcW w:w="1851" w:type="dxa"/>
            <w:vAlign w:val="center"/>
          </w:tcPr>
          <w:p w14:paraId="2397DE33" w14:textId="711B97CE"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37B6E15E" w14:textId="20882FA0"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w:t>
            </w:r>
          </w:p>
        </w:tc>
        <w:tc>
          <w:tcPr>
            <w:tcW w:w="1852" w:type="dxa"/>
            <w:vAlign w:val="center"/>
          </w:tcPr>
          <w:p w14:paraId="7DF0942F" w14:textId="447D6AF2"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1171C264" w14:textId="3F11B49A" w:rsidR="002E77C3" w:rsidRPr="00BC2D08" w:rsidRDefault="002E77C3" w:rsidP="002E77C3">
            <w:pPr>
              <w:pStyle w:val="ListParagraph"/>
              <w:ind w:left="34"/>
              <w:rPr>
                <w:rFonts w:ascii="Verdana" w:hAnsi="Verdana"/>
                <w:b/>
                <w:bCs/>
                <w:sz w:val="15"/>
                <w:szCs w:val="15"/>
              </w:rPr>
            </w:pPr>
            <w:r w:rsidRPr="00BC2D08">
              <w:rPr>
                <w:rFonts w:ascii="Verdana" w:hAnsi="Verdana"/>
                <w:sz w:val="15"/>
                <w:szCs w:val="15"/>
              </w:rPr>
              <w:t>The Group Conflicts of Interest Policy is reviewed and approved by the ARC annually and directors appointment letters set out the requirements for advising/ receiving approval for additional external appointments.</w:t>
            </w:r>
          </w:p>
        </w:tc>
      </w:tr>
      <w:tr w:rsidR="002E77C3" w:rsidRPr="00733988" w14:paraId="78B86279" w14:textId="77777777" w:rsidTr="002E77C3">
        <w:tc>
          <w:tcPr>
            <w:tcW w:w="5388" w:type="dxa"/>
          </w:tcPr>
          <w:p w14:paraId="5DE726F9" w14:textId="78DFBD74" w:rsidR="002E77C3" w:rsidRPr="00293544" w:rsidRDefault="002E77C3" w:rsidP="002E77C3">
            <w:pPr>
              <w:ind w:left="459" w:hanging="459"/>
              <w:rPr>
                <w:rFonts w:ascii="Verdana" w:hAnsi="Verdana"/>
                <w:sz w:val="18"/>
                <w:szCs w:val="18"/>
              </w:rPr>
            </w:pPr>
            <w:r w:rsidRPr="00293544">
              <w:rPr>
                <w:rFonts w:ascii="Verdana" w:hAnsi="Verdana"/>
                <w:sz w:val="18"/>
                <w:szCs w:val="18"/>
              </w:rPr>
              <w:t>6.</w:t>
            </w:r>
            <w:r>
              <w:rPr>
                <w:rFonts w:ascii="Verdana" w:hAnsi="Verdana"/>
                <w:sz w:val="18"/>
                <w:szCs w:val="18"/>
              </w:rPr>
              <w:t>3</w:t>
            </w:r>
            <w:r w:rsidRPr="00293544">
              <w:rPr>
                <w:rFonts w:ascii="Verdana" w:hAnsi="Verdana"/>
                <w:sz w:val="18"/>
                <w:szCs w:val="18"/>
              </w:rPr>
              <w:t xml:space="preserve">  </w:t>
            </w:r>
            <w:r w:rsidRPr="00024610">
              <w:rPr>
                <w:rFonts w:ascii="Verdana" w:hAnsi="Verdana"/>
                <w:sz w:val="18"/>
                <w:szCs w:val="18"/>
              </w:rPr>
              <w:t>Approval of the overall levels of insurance for the Group, including directors’ and officers’ liability insurance and any arrangements for indemnity of directors</w:t>
            </w:r>
            <w:r w:rsidRPr="00024610">
              <w:rPr>
                <w:rFonts w:ascii="Verdana" w:hAnsi="Verdana"/>
                <w:color w:val="FF0000"/>
                <w:sz w:val="18"/>
                <w:szCs w:val="18"/>
              </w:rPr>
              <w:t xml:space="preserve"> </w:t>
            </w:r>
          </w:p>
        </w:tc>
        <w:tc>
          <w:tcPr>
            <w:tcW w:w="1701" w:type="dxa"/>
            <w:vAlign w:val="center"/>
          </w:tcPr>
          <w:p w14:paraId="4BBEBA0B" w14:textId="0EF57AC6"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b/>
                <w:sz w:val="15"/>
                <w:szCs w:val="15"/>
              </w:rPr>
              <w:t>-</w:t>
            </w:r>
          </w:p>
        </w:tc>
        <w:tc>
          <w:tcPr>
            <w:tcW w:w="1559" w:type="dxa"/>
            <w:vAlign w:val="center"/>
          </w:tcPr>
          <w:p w14:paraId="6EF4186D" w14:textId="5C7B72BA"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Approve</w:t>
            </w:r>
          </w:p>
        </w:tc>
        <w:tc>
          <w:tcPr>
            <w:tcW w:w="1477" w:type="dxa"/>
            <w:vAlign w:val="center"/>
          </w:tcPr>
          <w:p w14:paraId="255A0509" w14:textId="1E5CDD23"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color w:val="00B050"/>
                <w:sz w:val="15"/>
                <w:szCs w:val="15"/>
              </w:rPr>
              <w:t>-</w:t>
            </w:r>
          </w:p>
        </w:tc>
        <w:tc>
          <w:tcPr>
            <w:tcW w:w="1723" w:type="dxa"/>
            <w:vAlign w:val="center"/>
          </w:tcPr>
          <w:p w14:paraId="7EC763E5" w14:textId="45A104AC" w:rsidR="002E77C3" w:rsidRPr="00BC2D08" w:rsidRDefault="002E77C3" w:rsidP="002E77C3">
            <w:pPr>
              <w:pStyle w:val="ListParagraph"/>
              <w:ind w:left="34"/>
              <w:jc w:val="center"/>
              <w:rPr>
                <w:rFonts w:ascii="Verdana" w:hAnsi="Verdana"/>
                <w:sz w:val="15"/>
                <w:szCs w:val="15"/>
              </w:rPr>
            </w:pPr>
            <w:r w:rsidRPr="00BC2D08">
              <w:rPr>
                <w:rFonts w:ascii="Verdana" w:hAnsi="Verdana"/>
                <w:color w:val="00B050"/>
                <w:sz w:val="15"/>
                <w:szCs w:val="15"/>
              </w:rPr>
              <w:t>-</w:t>
            </w:r>
          </w:p>
        </w:tc>
        <w:tc>
          <w:tcPr>
            <w:tcW w:w="1851" w:type="dxa"/>
            <w:vAlign w:val="center"/>
          </w:tcPr>
          <w:p w14:paraId="4822D12D" w14:textId="4A9B9FF6"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0C84165E" w14:textId="244A0EB4"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852" w:type="dxa"/>
            <w:vAlign w:val="center"/>
          </w:tcPr>
          <w:p w14:paraId="04C88E11" w14:textId="77777777" w:rsidR="002E77C3" w:rsidRPr="00BC2D08" w:rsidRDefault="002E77C3" w:rsidP="002E77C3">
            <w:pPr>
              <w:pStyle w:val="ListParagraph"/>
              <w:ind w:left="33"/>
              <w:jc w:val="center"/>
              <w:rPr>
                <w:rFonts w:ascii="Verdana" w:hAnsi="Verdana"/>
                <w:sz w:val="15"/>
                <w:szCs w:val="15"/>
              </w:rPr>
            </w:pPr>
          </w:p>
          <w:p w14:paraId="425AD4A9" w14:textId="4D807A98"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319D404C" w14:textId="56EA0E93" w:rsidR="002E77C3" w:rsidRPr="00BC2D08" w:rsidRDefault="002E77C3" w:rsidP="002E77C3">
            <w:pPr>
              <w:pStyle w:val="ListParagraph"/>
              <w:ind w:left="34"/>
              <w:rPr>
                <w:rFonts w:ascii="Verdana" w:hAnsi="Verdana"/>
                <w:b/>
                <w:sz w:val="15"/>
                <w:szCs w:val="15"/>
              </w:rPr>
            </w:pPr>
          </w:p>
        </w:tc>
      </w:tr>
      <w:tr w:rsidR="002E77C3" w:rsidRPr="00733988" w14:paraId="22F583CB" w14:textId="77777777" w:rsidTr="002E77C3">
        <w:tc>
          <w:tcPr>
            <w:tcW w:w="5388" w:type="dxa"/>
          </w:tcPr>
          <w:p w14:paraId="2AA71B5B" w14:textId="3A73FC82" w:rsidR="002E77C3" w:rsidRDefault="002E77C3" w:rsidP="002E77C3">
            <w:pPr>
              <w:ind w:left="459" w:hanging="459"/>
              <w:rPr>
                <w:rFonts w:ascii="Verdana" w:hAnsi="Verdana"/>
                <w:sz w:val="18"/>
                <w:szCs w:val="18"/>
              </w:rPr>
            </w:pPr>
            <w:r>
              <w:rPr>
                <w:rFonts w:ascii="Verdana" w:hAnsi="Verdana"/>
                <w:sz w:val="18"/>
                <w:szCs w:val="18"/>
              </w:rPr>
              <w:t xml:space="preserve">6.4 Adoption of Company policies related to business operation and/or strategic matters and identified within the </w:t>
            </w:r>
            <w:r w:rsidRPr="00B70C52">
              <w:rPr>
                <w:rFonts w:ascii="Verdana" w:hAnsi="Verdana"/>
                <w:sz w:val="18"/>
                <w:szCs w:val="18"/>
              </w:rPr>
              <w:t>approved policy framework as requiring Board</w:t>
            </w:r>
            <w:r>
              <w:rPr>
                <w:rFonts w:ascii="Verdana" w:hAnsi="Verdana"/>
                <w:sz w:val="18"/>
                <w:szCs w:val="18"/>
              </w:rPr>
              <w:t xml:space="preserve"> level</w:t>
            </w:r>
            <w:r w:rsidRPr="00B70C52">
              <w:rPr>
                <w:rFonts w:ascii="Verdana" w:hAnsi="Verdana"/>
                <w:sz w:val="18"/>
                <w:szCs w:val="18"/>
              </w:rPr>
              <w:t xml:space="preserve"> oversight</w:t>
            </w:r>
            <w:r>
              <w:rPr>
                <w:rFonts w:ascii="Verdana" w:hAnsi="Verdana"/>
                <w:sz w:val="18"/>
                <w:szCs w:val="18"/>
              </w:rPr>
              <w:t xml:space="preserve"> </w:t>
            </w:r>
          </w:p>
        </w:tc>
        <w:tc>
          <w:tcPr>
            <w:tcW w:w="1701" w:type="dxa"/>
            <w:vAlign w:val="center"/>
          </w:tcPr>
          <w:p w14:paraId="510EE978" w14:textId="20A3527A"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b/>
                <w:color w:val="00B050"/>
                <w:sz w:val="15"/>
                <w:szCs w:val="15"/>
              </w:rPr>
              <w:t>-</w:t>
            </w:r>
          </w:p>
        </w:tc>
        <w:tc>
          <w:tcPr>
            <w:tcW w:w="1559" w:type="dxa"/>
            <w:vAlign w:val="center"/>
          </w:tcPr>
          <w:p w14:paraId="441F8573" w14:textId="6CEA757B"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w:t>
            </w:r>
          </w:p>
        </w:tc>
        <w:tc>
          <w:tcPr>
            <w:tcW w:w="1477" w:type="dxa"/>
            <w:vAlign w:val="center"/>
          </w:tcPr>
          <w:p w14:paraId="084F52FD" w14:textId="07B52598"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color w:val="00B050"/>
                <w:sz w:val="15"/>
                <w:szCs w:val="15"/>
              </w:rPr>
              <w:t>-</w:t>
            </w:r>
          </w:p>
        </w:tc>
        <w:tc>
          <w:tcPr>
            <w:tcW w:w="1723" w:type="dxa"/>
            <w:vAlign w:val="center"/>
          </w:tcPr>
          <w:p w14:paraId="1B178203" w14:textId="63F96671" w:rsidR="002E77C3" w:rsidRPr="00BC2D08" w:rsidRDefault="002E77C3" w:rsidP="002E77C3">
            <w:pPr>
              <w:pStyle w:val="ListParagraph"/>
              <w:ind w:left="34"/>
              <w:jc w:val="center"/>
              <w:rPr>
                <w:rFonts w:ascii="Verdana" w:hAnsi="Verdana"/>
                <w:sz w:val="15"/>
                <w:szCs w:val="15"/>
              </w:rPr>
            </w:pPr>
            <w:r w:rsidRPr="00BC2D08">
              <w:rPr>
                <w:rFonts w:ascii="Verdana" w:hAnsi="Verdana"/>
                <w:color w:val="00B050"/>
                <w:sz w:val="15"/>
                <w:szCs w:val="15"/>
              </w:rPr>
              <w:t>-</w:t>
            </w:r>
          </w:p>
        </w:tc>
        <w:tc>
          <w:tcPr>
            <w:tcW w:w="1851" w:type="dxa"/>
            <w:vAlign w:val="center"/>
          </w:tcPr>
          <w:p w14:paraId="0DDD676C" w14:textId="4F549062"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44C06593" w14:textId="620250AA"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w:t>
            </w:r>
          </w:p>
        </w:tc>
        <w:tc>
          <w:tcPr>
            <w:tcW w:w="1852" w:type="dxa"/>
            <w:vAlign w:val="center"/>
          </w:tcPr>
          <w:p w14:paraId="24059790" w14:textId="349FC473"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05943D04" w14:textId="105AC9A4" w:rsidR="002E77C3" w:rsidRPr="00BC2D08" w:rsidRDefault="002E77C3" w:rsidP="002E77C3">
            <w:pPr>
              <w:pStyle w:val="ListParagraph"/>
              <w:ind w:left="34"/>
              <w:rPr>
                <w:rFonts w:ascii="Verdana" w:hAnsi="Verdana"/>
                <w:sz w:val="15"/>
                <w:szCs w:val="15"/>
              </w:rPr>
            </w:pPr>
            <w:r w:rsidRPr="00BC2D08">
              <w:rPr>
                <w:rFonts w:ascii="Verdana" w:hAnsi="Verdana"/>
                <w:sz w:val="15"/>
                <w:szCs w:val="15"/>
              </w:rPr>
              <w:t xml:space="preserve">Some policies may be approved by Board Committees in accordance with the policy framework. </w:t>
            </w:r>
          </w:p>
        </w:tc>
      </w:tr>
      <w:tr w:rsidR="002E77C3" w:rsidRPr="00733988" w14:paraId="2DE4EC75" w14:textId="77777777" w:rsidTr="002E77C3">
        <w:tc>
          <w:tcPr>
            <w:tcW w:w="5388" w:type="dxa"/>
          </w:tcPr>
          <w:p w14:paraId="5DC17175" w14:textId="4B86667D" w:rsidR="002E77C3" w:rsidRDefault="002E77C3" w:rsidP="002E77C3">
            <w:pPr>
              <w:ind w:left="459" w:hanging="459"/>
              <w:rPr>
                <w:rFonts w:ascii="Verdana" w:hAnsi="Verdana"/>
                <w:sz w:val="18"/>
                <w:szCs w:val="18"/>
              </w:rPr>
            </w:pPr>
            <w:r>
              <w:rPr>
                <w:rFonts w:ascii="Verdana" w:hAnsi="Verdana"/>
                <w:sz w:val="18"/>
                <w:szCs w:val="18"/>
              </w:rPr>
              <w:t xml:space="preserve">6.5  Adoption of and changes to Matters Reserved to the Board (including the appendices), Board Committee Terms of Reference and these Delegated Authorities </w:t>
            </w:r>
          </w:p>
        </w:tc>
        <w:tc>
          <w:tcPr>
            <w:tcW w:w="1701" w:type="dxa"/>
            <w:vAlign w:val="center"/>
          </w:tcPr>
          <w:p w14:paraId="730FC9A0" w14:textId="24CE3BD1" w:rsidR="002E77C3" w:rsidRPr="00BC2D08" w:rsidRDefault="002E77C3" w:rsidP="002E77C3">
            <w:pPr>
              <w:pStyle w:val="ListParagraph"/>
              <w:ind w:left="0"/>
              <w:jc w:val="center"/>
              <w:rPr>
                <w:rFonts w:ascii="Verdana" w:hAnsi="Verdana"/>
                <w:b/>
                <w:color w:val="00B050"/>
                <w:sz w:val="15"/>
                <w:szCs w:val="15"/>
              </w:rPr>
            </w:pPr>
            <w:r w:rsidRPr="00BC2D08">
              <w:rPr>
                <w:rFonts w:ascii="Verdana" w:hAnsi="Verdana"/>
                <w:sz w:val="15"/>
                <w:szCs w:val="15"/>
              </w:rPr>
              <w:t>-</w:t>
            </w:r>
          </w:p>
        </w:tc>
        <w:tc>
          <w:tcPr>
            <w:tcW w:w="1559" w:type="dxa"/>
            <w:vAlign w:val="center"/>
          </w:tcPr>
          <w:p w14:paraId="3FB6F896" w14:textId="0A9EB1E5"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 (ARC ToR)</w:t>
            </w:r>
          </w:p>
        </w:tc>
        <w:tc>
          <w:tcPr>
            <w:tcW w:w="1477" w:type="dxa"/>
            <w:vAlign w:val="center"/>
          </w:tcPr>
          <w:p w14:paraId="696B56E6" w14:textId="051B4250" w:rsidR="002E77C3" w:rsidRPr="00BC2D08" w:rsidRDefault="002E77C3" w:rsidP="002E77C3">
            <w:pPr>
              <w:pStyle w:val="ListParagraph"/>
              <w:ind w:left="0"/>
              <w:jc w:val="center"/>
              <w:rPr>
                <w:rFonts w:ascii="Verdana" w:hAnsi="Verdana"/>
                <w:color w:val="00B050"/>
                <w:sz w:val="15"/>
                <w:szCs w:val="15"/>
              </w:rPr>
            </w:pPr>
            <w:r w:rsidRPr="00BC2D08">
              <w:rPr>
                <w:rFonts w:ascii="Verdana" w:hAnsi="Verdana"/>
                <w:sz w:val="15"/>
                <w:szCs w:val="15"/>
              </w:rPr>
              <w:t>Approve for recommendation to POL Board (NomCo ToR)</w:t>
            </w:r>
          </w:p>
        </w:tc>
        <w:tc>
          <w:tcPr>
            <w:tcW w:w="1723" w:type="dxa"/>
            <w:vAlign w:val="center"/>
          </w:tcPr>
          <w:p w14:paraId="094C264A" w14:textId="77777777"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Approve for recommendation to POL Board</w:t>
            </w:r>
          </w:p>
          <w:p w14:paraId="01D402A7" w14:textId="1F76809B"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(RemCo ToR)</w:t>
            </w:r>
          </w:p>
        </w:tc>
        <w:tc>
          <w:tcPr>
            <w:tcW w:w="1851" w:type="dxa"/>
            <w:vAlign w:val="center"/>
          </w:tcPr>
          <w:p w14:paraId="6ED02C6D" w14:textId="7A33EEA4"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33E80FE2" w14:textId="7C9EAFEE"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w:t>
            </w:r>
          </w:p>
        </w:tc>
        <w:tc>
          <w:tcPr>
            <w:tcW w:w="1852" w:type="dxa"/>
            <w:vAlign w:val="center"/>
          </w:tcPr>
          <w:p w14:paraId="68B62744" w14:textId="1C0F870B" w:rsidR="002E77C3" w:rsidRPr="00BC2D08" w:rsidRDefault="002E77C3" w:rsidP="002E77C3">
            <w:pPr>
              <w:pStyle w:val="ListParagraph"/>
              <w:numPr>
                <w:ilvl w:val="0"/>
                <w:numId w:val="27"/>
              </w:numPr>
              <w:jc w:val="center"/>
              <w:rPr>
                <w:rFonts w:ascii="Verdana" w:hAnsi="Verdana"/>
                <w:sz w:val="15"/>
                <w:szCs w:val="15"/>
              </w:rPr>
            </w:pPr>
          </w:p>
        </w:tc>
        <w:tc>
          <w:tcPr>
            <w:tcW w:w="5704" w:type="dxa"/>
          </w:tcPr>
          <w:p w14:paraId="2F0D5790" w14:textId="1A517BF1" w:rsidR="002E77C3" w:rsidRPr="00BC2D08" w:rsidRDefault="002E77C3" w:rsidP="002E77C3">
            <w:pPr>
              <w:pStyle w:val="ListParagraph"/>
              <w:ind w:left="34"/>
              <w:rPr>
                <w:rFonts w:ascii="Verdana" w:hAnsi="Verdana"/>
                <w:sz w:val="15"/>
                <w:szCs w:val="15"/>
              </w:rPr>
            </w:pPr>
            <w:r w:rsidRPr="00BC2D08">
              <w:rPr>
                <w:rFonts w:ascii="Verdana" w:hAnsi="Verdana"/>
                <w:sz w:val="15"/>
                <w:szCs w:val="15"/>
              </w:rPr>
              <w:t xml:space="preserve">Any changes are subject to the Articles of Association and </w:t>
            </w:r>
            <w:r w:rsidR="005A5414">
              <w:rPr>
                <w:rFonts w:ascii="Verdana" w:hAnsi="Verdana"/>
                <w:sz w:val="15"/>
                <w:szCs w:val="15"/>
              </w:rPr>
              <w:t>the FD</w:t>
            </w:r>
            <w:r w:rsidRPr="00BC2D08">
              <w:rPr>
                <w:rFonts w:ascii="Verdana" w:hAnsi="Verdana"/>
                <w:sz w:val="15"/>
                <w:szCs w:val="15"/>
              </w:rPr>
              <w:t xml:space="preserve"> </w:t>
            </w:r>
          </w:p>
        </w:tc>
      </w:tr>
      <w:tr w:rsidR="002E77C3" w:rsidRPr="00733988" w14:paraId="1A5A9DC6" w14:textId="77777777" w:rsidTr="002E77C3">
        <w:tc>
          <w:tcPr>
            <w:tcW w:w="5388" w:type="dxa"/>
          </w:tcPr>
          <w:p w14:paraId="7664519B" w14:textId="4387B6AF" w:rsidR="002E77C3" w:rsidRDefault="002E77C3" w:rsidP="002E77C3">
            <w:pPr>
              <w:ind w:left="459" w:hanging="459"/>
              <w:rPr>
                <w:rFonts w:ascii="Verdana" w:hAnsi="Verdana"/>
                <w:sz w:val="18"/>
                <w:szCs w:val="18"/>
              </w:rPr>
            </w:pPr>
            <w:r>
              <w:rPr>
                <w:rFonts w:ascii="Verdana" w:hAnsi="Verdana"/>
                <w:sz w:val="18"/>
                <w:szCs w:val="18"/>
              </w:rPr>
              <w:t xml:space="preserve">6.6  Approval of the delegation to the Group Chief Executive and the division of responsibilities between the chair, chief executive and the senior independent director </w:t>
            </w:r>
          </w:p>
        </w:tc>
        <w:tc>
          <w:tcPr>
            <w:tcW w:w="1701" w:type="dxa"/>
            <w:vAlign w:val="center"/>
          </w:tcPr>
          <w:p w14:paraId="7E317D71" w14:textId="136BFC46"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4BA64AC4" w14:textId="30B9C97F"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477" w:type="dxa"/>
            <w:vAlign w:val="center"/>
          </w:tcPr>
          <w:p w14:paraId="458F1EA4" w14:textId="44155824"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w:t>
            </w:r>
          </w:p>
        </w:tc>
        <w:tc>
          <w:tcPr>
            <w:tcW w:w="1723" w:type="dxa"/>
            <w:vAlign w:val="center"/>
          </w:tcPr>
          <w:p w14:paraId="03F0C584" w14:textId="0AEFD47D"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851" w:type="dxa"/>
            <w:vAlign w:val="center"/>
          </w:tcPr>
          <w:p w14:paraId="587747B6" w14:textId="35571120"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2B90C244" w14:textId="73427B0B"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w:t>
            </w:r>
          </w:p>
        </w:tc>
        <w:tc>
          <w:tcPr>
            <w:tcW w:w="1852" w:type="dxa"/>
            <w:vAlign w:val="center"/>
          </w:tcPr>
          <w:p w14:paraId="6B79648C" w14:textId="77777777" w:rsidR="002E77C3" w:rsidRPr="00BC2D08" w:rsidRDefault="002E77C3" w:rsidP="002E77C3">
            <w:pPr>
              <w:pStyle w:val="ListParagraph"/>
              <w:numPr>
                <w:ilvl w:val="0"/>
                <w:numId w:val="27"/>
              </w:numPr>
              <w:jc w:val="center"/>
              <w:rPr>
                <w:rFonts w:ascii="Verdana" w:hAnsi="Verdana"/>
                <w:sz w:val="15"/>
                <w:szCs w:val="15"/>
              </w:rPr>
            </w:pPr>
          </w:p>
        </w:tc>
        <w:tc>
          <w:tcPr>
            <w:tcW w:w="5704" w:type="dxa"/>
          </w:tcPr>
          <w:p w14:paraId="2B133164" w14:textId="09AFE0EE" w:rsidR="002E77C3" w:rsidRPr="00BC2D08" w:rsidRDefault="002E77C3" w:rsidP="002E77C3">
            <w:pPr>
              <w:pStyle w:val="ListParagraph"/>
              <w:ind w:left="33"/>
              <w:rPr>
                <w:rFonts w:ascii="Verdana" w:hAnsi="Verdana"/>
                <w:sz w:val="15"/>
                <w:szCs w:val="15"/>
              </w:rPr>
            </w:pPr>
          </w:p>
        </w:tc>
      </w:tr>
      <w:tr w:rsidR="002E77C3" w:rsidRPr="00733988" w14:paraId="2B348A26" w14:textId="77777777" w:rsidTr="002E77C3">
        <w:tc>
          <w:tcPr>
            <w:tcW w:w="5388" w:type="dxa"/>
          </w:tcPr>
          <w:p w14:paraId="0BA0C642" w14:textId="4FA83001" w:rsidR="002E77C3" w:rsidRDefault="002E77C3" w:rsidP="002E77C3">
            <w:pPr>
              <w:ind w:left="459" w:hanging="459"/>
              <w:rPr>
                <w:rFonts w:ascii="Verdana" w:hAnsi="Verdana"/>
                <w:sz w:val="18"/>
                <w:szCs w:val="18"/>
              </w:rPr>
            </w:pPr>
            <w:r w:rsidRPr="645919C0">
              <w:rPr>
                <w:rFonts w:ascii="Verdana" w:hAnsi="Verdana"/>
                <w:sz w:val="18"/>
                <w:szCs w:val="18"/>
              </w:rPr>
              <w:t xml:space="preserve">6.7 </w:t>
            </w:r>
            <w:r w:rsidR="002F21E6">
              <w:rPr>
                <w:rFonts w:ascii="Verdana" w:hAnsi="Verdana"/>
                <w:sz w:val="18"/>
                <w:szCs w:val="18"/>
              </w:rPr>
              <w:t xml:space="preserve"> </w:t>
            </w:r>
            <w:r w:rsidRPr="645919C0">
              <w:rPr>
                <w:rFonts w:ascii="Verdana" w:hAnsi="Verdana"/>
                <w:sz w:val="18"/>
                <w:szCs w:val="18"/>
              </w:rPr>
              <w:t xml:space="preserve">Process for the annual review of Board and Board Committee Effectiveness </w:t>
            </w:r>
          </w:p>
        </w:tc>
        <w:tc>
          <w:tcPr>
            <w:tcW w:w="1701" w:type="dxa"/>
            <w:vAlign w:val="center"/>
          </w:tcPr>
          <w:p w14:paraId="6EB502F9" w14:textId="04BDFB7F"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1559" w:type="dxa"/>
            <w:vAlign w:val="center"/>
          </w:tcPr>
          <w:p w14:paraId="31400617" w14:textId="6DAF73EE"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477" w:type="dxa"/>
            <w:vAlign w:val="center"/>
          </w:tcPr>
          <w:p w14:paraId="00366F1C" w14:textId="2C8E1FA4"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w:t>
            </w:r>
          </w:p>
        </w:tc>
        <w:tc>
          <w:tcPr>
            <w:tcW w:w="1723" w:type="dxa"/>
            <w:vAlign w:val="center"/>
          </w:tcPr>
          <w:p w14:paraId="1E0939BA" w14:textId="0D0994FA"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851" w:type="dxa"/>
            <w:vAlign w:val="center"/>
          </w:tcPr>
          <w:p w14:paraId="3F2303EF" w14:textId="6838C2BA"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1D6A3051" w14:textId="04B8C325"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852" w:type="dxa"/>
            <w:vAlign w:val="center"/>
          </w:tcPr>
          <w:p w14:paraId="0DCC5EF5" w14:textId="77777777" w:rsidR="002E77C3" w:rsidRPr="00BC2D08" w:rsidRDefault="002E77C3" w:rsidP="002E77C3">
            <w:pPr>
              <w:pStyle w:val="ListParagraph"/>
              <w:numPr>
                <w:ilvl w:val="0"/>
                <w:numId w:val="27"/>
              </w:numPr>
              <w:jc w:val="center"/>
              <w:rPr>
                <w:rFonts w:ascii="Verdana" w:hAnsi="Verdana"/>
                <w:sz w:val="15"/>
                <w:szCs w:val="15"/>
              </w:rPr>
            </w:pPr>
          </w:p>
        </w:tc>
        <w:tc>
          <w:tcPr>
            <w:tcW w:w="5704" w:type="dxa"/>
          </w:tcPr>
          <w:p w14:paraId="74639413" w14:textId="6EF862B5" w:rsidR="002E77C3" w:rsidRPr="00BC2D08" w:rsidRDefault="002E77C3" w:rsidP="002E77C3">
            <w:pPr>
              <w:pStyle w:val="ListParagraph"/>
              <w:ind w:left="33"/>
              <w:rPr>
                <w:rFonts w:ascii="Verdana" w:hAnsi="Verdana"/>
                <w:sz w:val="15"/>
                <w:szCs w:val="15"/>
              </w:rPr>
            </w:pPr>
          </w:p>
        </w:tc>
      </w:tr>
      <w:tr w:rsidR="002E77C3" w:rsidRPr="00733988" w14:paraId="2E7260D4" w14:textId="77777777" w:rsidTr="002E77C3">
        <w:tc>
          <w:tcPr>
            <w:tcW w:w="5388" w:type="dxa"/>
          </w:tcPr>
          <w:p w14:paraId="6AF0B8C3" w14:textId="16B59880" w:rsidR="002E77C3" w:rsidRDefault="002E77C3" w:rsidP="002E77C3">
            <w:pPr>
              <w:widowControl w:val="0"/>
              <w:tabs>
                <w:tab w:val="left" w:pos="1531"/>
                <w:tab w:val="left" w:pos="1532"/>
              </w:tabs>
              <w:autoSpaceDE w:val="0"/>
              <w:autoSpaceDN w:val="0"/>
              <w:ind w:left="459" w:hanging="459"/>
              <w:rPr>
                <w:rFonts w:ascii="Verdana" w:hAnsi="Verdana"/>
                <w:sz w:val="18"/>
                <w:szCs w:val="18"/>
              </w:rPr>
            </w:pPr>
            <w:r w:rsidRPr="001E0FA6">
              <w:rPr>
                <w:rFonts w:ascii="Verdana" w:hAnsi="Verdana"/>
                <w:sz w:val="18"/>
                <w:szCs w:val="18"/>
              </w:rPr>
              <w:t>6.</w:t>
            </w:r>
            <w:r>
              <w:rPr>
                <w:rFonts w:ascii="Verdana" w:hAnsi="Verdana"/>
                <w:sz w:val="18"/>
                <w:szCs w:val="18"/>
              </w:rPr>
              <w:t>8</w:t>
            </w:r>
            <w:r w:rsidRPr="001E0FA6">
              <w:rPr>
                <w:rFonts w:ascii="Verdana" w:hAnsi="Verdana"/>
                <w:sz w:val="18"/>
                <w:szCs w:val="18"/>
              </w:rPr>
              <w:t xml:space="preserve"> </w:t>
            </w:r>
            <w:r w:rsidR="002F21E6">
              <w:rPr>
                <w:rFonts w:ascii="Verdana" w:hAnsi="Verdana"/>
                <w:sz w:val="18"/>
                <w:szCs w:val="18"/>
              </w:rPr>
              <w:t xml:space="preserve"> </w:t>
            </w:r>
            <w:r w:rsidRPr="00AE5964">
              <w:rPr>
                <w:rFonts w:ascii="Verdana" w:hAnsi="Verdana"/>
                <w:sz w:val="18"/>
                <w:szCs w:val="18"/>
              </w:rPr>
              <w:t>Approval of the Group’s overall corporate governance</w:t>
            </w:r>
            <w:r w:rsidRPr="00AE5964">
              <w:rPr>
                <w:rFonts w:ascii="Verdana" w:hAnsi="Verdana"/>
                <w:spacing w:val="-7"/>
                <w:sz w:val="18"/>
                <w:szCs w:val="18"/>
              </w:rPr>
              <w:t xml:space="preserve"> </w:t>
            </w:r>
            <w:r>
              <w:rPr>
                <w:rFonts w:ascii="Verdana" w:hAnsi="Verdana"/>
                <w:sz w:val="18"/>
                <w:szCs w:val="18"/>
              </w:rPr>
              <w:t xml:space="preserve">arrangements </w:t>
            </w:r>
            <w:r w:rsidRPr="00AE5964">
              <w:rPr>
                <w:rFonts w:ascii="Verdana" w:hAnsi="Verdana"/>
                <w:sz w:val="18"/>
                <w:szCs w:val="18"/>
              </w:rPr>
              <w:t xml:space="preserve"> </w:t>
            </w:r>
          </w:p>
        </w:tc>
        <w:tc>
          <w:tcPr>
            <w:tcW w:w="1701" w:type="dxa"/>
            <w:vAlign w:val="center"/>
          </w:tcPr>
          <w:p w14:paraId="42351A8D" w14:textId="23186BF2" w:rsidR="002E77C3" w:rsidRPr="00BC2D08" w:rsidRDefault="002E77C3" w:rsidP="002E77C3">
            <w:pPr>
              <w:pStyle w:val="ListParagraph"/>
              <w:ind w:left="33"/>
              <w:jc w:val="center"/>
              <w:rPr>
                <w:rFonts w:ascii="Verdana" w:hAnsi="Verdana"/>
                <w:sz w:val="15"/>
                <w:szCs w:val="15"/>
              </w:rPr>
            </w:pPr>
            <w:r w:rsidRPr="00BC2D08">
              <w:rPr>
                <w:rFonts w:ascii="Verdana" w:hAnsi="Verdana"/>
                <w:b/>
                <w:sz w:val="15"/>
                <w:szCs w:val="15"/>
              </w:rPr>
              <w:t>-</w:t>
            </w:r>
          </w:p>
        </w:tc>
        <w:tc>
          <w:tcPr>
            <w:tcW w:w="1559" w:type="dxa"/>
            <w:vAlign w:val="center"/>
          </w:tcPr>
          <w:p w14:paraId="0A48663F" w14:textId="7AF1EA64" w:rsidR="002E77C3" w:rsidRPr="00BC2D08" w:rsidRDefault="002E77C3" w:rsidP="002E77C3">
            <w:pPr>
              <w:pStyle w:val="ListParagraph"/>
              <w:ind w:left="34"/>
              <w:jc w:val="center"/>
              <w:rPr>
                <w:rFonts w:ascii="Verdana" w:hAnsi="Verdana"/>
                <w:sz w:val="15"/>
                <w:szCs w:val="15"/>
              </w:rPr>
            </w:pPr>
            <w:r w:rsidRPr="00BC2D08">
              <w:rPr>
                <w:rFonts w:ascii="Verdana" w:hAnsi="Verdana"/>
                <w:b/>
                <w:sz w:val="15"/>
                <w:szCs w:val="15"/>
              </w:rPr>
              <w:t>-</w:t>
            </w:r>
          </w:p>
        </w:tc>
        <w:tc>
          <w:tcPr>
            <w:tcW w:w="1477" w:type="dxa"/>
            <w:vAlign w:val="center"/>
          </w:tcPr>
          <w:p w14:paraId="16873C41" w14:textId="182E1B89" w:rsidR="002E77C3" w:rsidRPr="00BC2D08" w:rsidRDefault="002E77C3" w:rsidP="002E77C3">
            <w:pPr>
              <w:pStyle w:val="ListParagraph"/>
              <w:ind w:left="0"/>
              <w:jc w:val="center"/>
              <w:rPr>
                <w:rFonts w:ascii="Verdana" w:hAnsi="Verdana"/>
                <w:sz w:val="15"/>
                <w:szCs w:val="15"/>
              </w:rPr>
            </w:pPr>
            <w:r w:rsidRPr="00BC2D08">
              <w:rPr>
                <w:rFonts w:ascii="Verdana" w:hAnsi="Verdana"/>
                <w:sz w:val="15"/>
                <w:szCs w:val="15"/>
              </w:rPr>
              <w:t>Approve for recommendation to POL Board</w:t>
            </w:r>
          </w:p>
        </w:tc>
        <w:tc>
          <w:tcPr>
            <w:tcW w:w="1723" w:type="dxa"/>
            <w:vAlign w:val="center"/>
          </w:tcPr>
          <w:p w14:paraId="6E65F2B0" w14:textId="566A1919"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w:t>
            </w:r>
          </w:p>
        </w:tc>
        <w:tc>
          <w:tcPr>
            <w:tcW w:w="1851" w:type="dxa"/>
            <w:vAlign w:val="center"/>
          </w:tcPr>
          <w:p w14:paraId="4DE0D7FE" w14:textId="64934C0F"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16DB5A77" w14:textId="78221086"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Approve</w:t>
            </w:r>
          </w:p>
        </w:tc>
        <w:tc>
          <w:tcPr>
            <w:tcW w:w="1852" w:type="dxa"/>
            <w:vAlign w:val="center"/>
          </w:tcPr>
          <w:p w14:paraId="782A3A2E" w14:textId="621145F0" w:rsidR="002E77C3" w:rsidRPr="00BC2D08" w:rsidRDefault="002E77C3" w:rsidP="002E77C3">
            <w:pPr>
              <w:pStyle w:val="ListParagraph"/>
              <w:ind w:left="33"/>
              <w:jc w:val="center"/>
              <w:rPr>
                <w:rFonts w:ascii="Verdana" w:hAnsi="Verdana"/>
                <w:sz w:val="15"/>
                <w:szCs w:val="15"/>
              </w:rPr>
            </w:pPr>
            <w:r w:rsidRPr="00BC2D08">
              <w:rPr>
                <w:rFonts w:ascii="Verdana" w:hAnsi="Verdana"/>
                <w:sz w:val="15"/>
                <w:szCs w:val="15"/>
              </w:rPr>
              <w:t>-</w:t>
            </w:r>
          </w:p>
        </w:tc>
        <w:tc>
          <w:tcPr>
            <w:tcW w:w="5704" w:type="dxa"/>
          </w:tcPr>
          <w:p w14:paraId="0706E456" w14:textId="574DB31C" w:rsidR="002E77C3" w:rsidRPr="00BC2D08" w:rsidRDefault="002E77C3" w:rsidP="002E77C3">
            <w:pPr>
              <w:pStyle w:val="ListParagraph"/>
              <w:ind w:left="34"/>
              <w:rPr>
                <w:rFonts w:ascii="Verdana" w:hAnsi="Verdana"/>
                <w:b/>
                <w:sz w:val="15"/>
                <w:szCs w:val="15"/>
              </w:rPr>
            </w:pPr>
            <w:r w:rsidRPr="00BC2D08">
              <w:rPr>
                <w:rFonts w:ascii="Verdana" w:hAnsi="Verdana"/>
                <w:sz w:val="15"/>
                <w:szCs w:val="15"/>
              </w:rPr>
              <w:t>The Board delegates to the Nominations Committee approval of a number of elements of governance and reviewing and monitoring corporate governance development and compliance but decisions on the constitutional documents, including the Articles of Association and Matters Reserved to the Board require Board approval.</w:t>
            </w:r>
          </w:p>
        </w:tc>
      </w:tr>
      <w:tr w:rsidR="002E77C3" w:rsidRPr="00733988" w14:paraId="5F32AF8A" w14:textId="77777777" w:rsidTr="002E77C3">
        <w:tc>
          <w:tcPr>
            <w:tcW w:w="5388" w:type="dxa"/>
          </w:tcPr>
          <w:p w14:paraId="0BA6574E" w14:textId="02467779" w:rsidR="002E77C3" w:rsidRPr="001E0FA6" w:rsidRDefault="002E77C3" w:rsidP="002E77C3">
            <w:pPr>
              <w:widowControl w:val="0"/>
              <w:tabs>
                <w:tab w:val="left" w:pos="1531"/>
                <w:tab w:val="left" w:pos="1532"/>
              </w:tabs>
              <w:autoSpaceDE w:val="0"/>
              <w:autoSpaceDN w:val="0"/>
              <w:ind w:left="459" w:hanging="459"/>
              <w:rPr>
                <w:rFonts w:ascii="Verdana" w:hAnsi="Verdana"/>
                <w:sz w:val="18"/>
                <w:szCs w:val="18"/>
              </w:rPr>
            </w:pPr>
            <w:r>
              <w:rPr>
                <w:rFonts w:ascii="Verdana" w:hAnsi="Verdana"/>
                <w:sz w:val="18"/>
                <w:szCs w:val="20"/>
              </w:rPr>
              <w:t xml:space="preserve">6.9 </w:t>
            </w:r>
            <w:r w:rsidR="002F21E6">
              <w:rPr>
                <w:rFonts w:ascii="Verdana" w:hAnsi="Verdana"/>
                <w:sz w:val="18"/>
                <w:szCs w:val="20"/>
              </w:rPr>
              <w:t xml:space="preserve"> </w:t>
            </w:r>
            <w:r w:rsidRPr="00CA1FD2">
              <w:rPr>
                <w:rFonts w:ascii="Verdana" w:hAnsi="Verdana"/>
                <w:bCs/>
                <w:sz w:val="18"/>
                <w:szCs w:val="18"/>
              </w:rPr>
              <w:t>Approve</w:t>
            </w:r>
            <w:r w:rsidRPr="00FE0B03">
              <w:rPr>
                <w:rFonts w:ascii="Verdana" w:hAnsi="Verdana"/>
                <w:b/>
                <w:sz w:val="18"/>
                <w:szCs w:val="18"/>
              </w:rPr>
              <w:t xml:space="preserve"> </w:t>
            </w:r>
            <w:r w:rsidRPr="00FE0B03">
              <w:rPr>
                <w:rFonts w:ascii="Verdana" w:hAnsi="Verdana"/>
                <w:bCs/>
                <w:sz w:val="18"/>
                <w:szCs w:val="18"/>
              </w:rPr>
              <w:t>Group Key Policies under the Group Key Policy Framework</w:t>
            </w:r>
          </w:p>
        </w:tc>
        <w:tc>
          <w:tcPr>
            <w:tcW w:w="1701" w:type="dxa"/>
            <w:vAlign w:val="center"/>
          </w:tcPr>
          <w:p w14:paraId="72EA2FA9" w14:textId="4D6F325C" w:rsidR="002E77C3" w:rsidRPr="00BC2D08" w:rsidRDefault="002E77C3" w:rsidP="002E77C3">
            <w:pPr>
              <w:pStyle w:val="ListParagraph"/>
              <w:ind w:left="33"/>
              <w:jc w:val="center"/>
              <w:rPr>
                <w:rFonts w:ascii="Verdana" w:hAnsi="Verdana"/>
                <w:b/>
                <w:sz w:val="15"/>
                <w:szCs w:val="15"/>
              </w:rPr>
            </w:pPr>
            <w:r w:rsidRPr="00BC2D08">
              <w:rPr>
                <w:rFonts w:ascii="Verdana" w:hAnsi="Verdana"/>
                <w:sz w:val="15"/>
                <w:szCs w:val="15"/>
              </w:rPr>
              <w:t>As required under the Group Key Policy Framework</w:t>
            </w:r>
          </w:p>
        </w:tc>
        <w:tc>
          <w:tcPr>
            <w:tcW w:w="1559" w:type="dxa"/>
            <w:vAlign w:val="center"/>
          </w:tcPr>
          <w:p w14:paraId="1D336E18" w14:textId="7C6A62B8" w:rsidR="002E77C3" w:rsidRPr="00BC2D08" w:rsidRDefault="002E77C3" w:rsidP="002E77C3">
            <w:pPr>
              <w:pStyle w:val="ListParagraph"/>
              <w:ind w:left="34"/>
              <w:jc w:val="center"/>
              <w:rPr>
                <w:rFonts w:ascii="Verdana" w:hAnsi="Verdana"/>
                <w:b/>
                <w:sz w:val="15"/>
                <w:szCs w:val="15"/>
              </w:rPr>
            </w:pPr>
            <w:r w:rsidRPr="00BC2D08">
              <w:rPr>
                <w:rFonts w:ascii="Verdana" w:hAnsi="Verdana"/>
                <w:sz w:val="15"/>
                <w:szCs w:val="15"/>
              </w:rPr>
              <w:t>As required under the Group Key Policy Framework</w:t>
            </w:r>
          </w:p>
        </w:tc>
        <w:tc>
          <w:tcPr>
            <w:tcW w:w="1477" w:type="dxa"/>
            <w:vAlign w:val="center"/>
          </w:tcPr>
          <w:p w14:paraId="59134065" w14:textId="76EAB47F" w:rsidR="002E77C3" w:rsidRPr="00BC2D08" w:rsidRDefault="002E77C3" w:rsidP="002E77C3">
            <w:pPr>
              <w:pStyle w:val="ListParagraph"/>
              <w:ind w:left="0"/>
              <w:jc w:val="center"/>
              <w:rPr>
                <w:rFonts w:ascii="Verdana" w:hAnsi="Verdana"/>
                <w:sz w:val="15"/>
                <w:szCs w:val="15"/>
              </w:rPr>
            </w:pPr>
            <w:r>
              <w:rPr>
                <w:rFonts w:ascii="Verdana" w:hAnsi="Verdana"/>
                <w:sz w:val="15"/>
                <w:szCs w:val="15"/>
              </w:rPr>
              <w:t>-</w:t>
            </w:r>
          </w:p>
        </w:tc>
        <w:tc>
          <w:tcPr>
            <w:tcW w:w="1723" w:type="dxa"/>
            <w:vAlign w:val="center"/>
          </w:tcPr>
          <w:p w14:paraId="529A4CF0" w14:textId="0148649B" w:rsidR="002E77C3" w:rsidRPr="00BC2D08" w:rsidRDefault="002E77C3" w:rsidP="002E77C3">
            <w:pPr>
              <w:pStyle w:val="ListParagraph"/>
              <w:ind w:left="34"/>
              <w:jc w:val="center"/>
              <w:rPr>
                <w:rFonts w:ascii="Verdana" w:hAnsi="Verdana"/>
                <w:sz w:val="15"/>
                <w:szCs w:val="15"/>
              </w:rPr>
            </w:pPr>
            <w:r>
              <w:rPr>
                <w:rFonts w:ascii="Verdana" w:hAnsi="Verdana"/>
                <w:sz w:val="15"/>
                <w:szCs w:val="15"/>
              </w:rPr>
              <w:t>-</w:t>
            </w:r>
          </w:p>
        </w:tc>
        <w:tc>
          <w:tcPr>
            <w:tcW w:w="1851" w:type="dxa"/>
            <w:vAlign w:val="center"/>
          </w:tcPr>
          <w:p w14:paraId="7D81B5F0" w14:textId="01D9CA46" w:rsidR="002E77C3" w:rsidRPr="00BC2D08" w:rsidRDefault="002E77C3" w:rsidP="002E77C3">
            <w:pPr>
              <w:pStyle w:val="ListParagraph"/>
              <w:ind w:left="34"/>
              <w:jc w:val="center"/>
              <w:rPr>
                <w:rFonts w:ascii="Verdana" w:hAnsi="Verdana"/>
                <w:sz w:val="15"/>
                <w:szCs w:val="15"/>
              </w:rPr>
            </w:pPr>
            <w:r w:rsidRPr="00244A6A">
              <w:rPr>
                <w:rFonts w:ascii="Verdana" w:hAnsi="Verdana"/>
                <w:color w:val="000000" w:themeColor="text1"/>
                <w:sz w:val="15"/>
                <w:szCs w:val="15"/>
              </w:rPr>
              <w:t>-</w:t>
            </w:r>
          </w:p>
        </w:tc>
        <w:tc>
          <w:tcPr>
            <w:tcW w:w="1851" w:type="dxa"/>
            <w:vAlign w:val="center"/>
          </w:tcPr>
          <w:p w14:paraId="048682C2" w14:textId="03A8CB08" w:rsidR="002E77C3" w:rsidRPr="00BC2D08" w:rsidRDefault="002E77C3" w:rsidP="002E77C3">
            <w:pPr>
              <w:pStyle w:val="ListParagraph"/>
              <w:ind w:left="34"/>
              <w:jc w:val="center"/>
              <w:rPr>
                <w:rFonts w:ascii="Verdana" w:hAnsi="Verdana"/>
                <w:sz w:val="15"/>
                <w:szCs w:val="15"/>
              </w:rPr>
            </w:pPr>
            <w:r w:rsidRPr="00BC2D08">
              <w:rPr>
                <w:rFonts w:ascii="Verdana" w:hAnsi="Verdana"/>
                <w:sz w:val="15"/>
                <w:szCs w:val="15"/>
              </w:rPr>
              <w:t>As required under the Group Key</w:t>
            </w:r>
          </w:p>
        </w:tc>
        <w:tc>
          <w:tcPr>
            <w:tcW w:w="1852" w:type="dxa"/>
            <w:vAlign w:val="center"/>
          </w:tcPr>
          <w:p w14:paraId="375311B6" w14:textId="77777777" w:rsidR="002E77C3" w:rsidRPr="00BC2D08" w:rsidRDefault="002E77C3" w:rsidP="002E77C3">
            <w:pPr>
              <w:pStyle w:val="ListParagraph"/>
              <w:ind w:left="33"/>
              <w:jc w:val="center"/>
              <w:rPr>
                <w:rFonts w:ascii="Verdana" w:hAnsi="Verdana"/>
                <w:sz w:val="15"/>
                <w:szCs w:val="15"/>
              </w:rPr>
            </w:pPr>
          </w:p>
        </w:tc>
        <w:tc>
          <w:tcPr>
            <w:tcW w:w="5704" w:type="dxa"/>
          </w:tcPr>
          <w:p w14:paraId="08DB46AA" w14:textId="08B84BE5" w:rsidR="002E77C3" w:rsidRPr="00BC2D08" w:rsidRDefault="002E77C3" w:rsidP="002E77C3">
            <w:pPr>
              <w:pStyle w:val="ListParagraph"/>
              <w:ind w:left="34"/>
              <w:rPr>
                <w:rFonts w:ascii="Verdana" w:hAnsi="Verdana"/>
                <w:sz w:val="15"/>
                <w:szCs w:val="15"/>
              </w:rPr>
            </w:pPr>
            <w:r w:rsidRPr="00437878">
              <w:rPr>
                <w:rFonts w:ascii="Verdana" w:hAnsi="Verdana"/>
                <w:sz w:val="15"/>
                <w:szCs w:val="15"/>
              </w:rPr>
              <w:t>The Audit, Risk &amp; Compliance Committee has authority to review and approve the Group Key Policy Framework, which sets out which policies must be approved where.</w:t>
            </w:r>
          </w:p>
        </w:tc>
      </w:tr>
    </w:tbl>
    <w:p w14:paraId="4E6AF69B" w14:textId="77777777" w:rsidR="007559F0" w:rsidRPr="00090ACE" w:rsidRDefault="007559F0">
      <w:pPr>
        <w:rPr>
          <w:b/>
        </w:rPr>
      </w:pPr>
    </w:p>
    <w:sectPr w:rsidR="007559F0" w:rsidRPr="00090ACE" w:rsidSect="007D1EFB">
      <w:headerReference w:type="even" r:id="rId11"/>
      <w:headerReference w:type="default" r:id="rId12"/>
      <w:footerReference w:type="default" r:id="rId13"/>
      <w:headerReference w:type="first" r:id="rId14"/>
      <w:pgSz w:w="23814" w:h="16840" w:orient="landscape"/>
      <w:pgMar w:top="1440" w:right="851" w:bottom="1440" w:left="709"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07ED" w14:textId="77777777" w:rsidR="00712590" w:rsidRDefault="00712590" w:rsidP="00BD06A4">
      <w:pPr>
        <w:spacing w:after="0" w:line="240" w:lineRule="auto"/>
      </w:pPr>
      <w:r>
        <w:separator/>
      </w:r>
    </w:p>
  </w:endnote>
  <w:endnote w:type="continuationSeparator" w:id="0">
    <w:p w14:paraId="6041947B" w14:textId="77777777" w:rsidR="00712590" w:rsidRDefault="00712590" w:rsidP="00BD06A4">
      <w:pPr>
        <w:spacing w:after="0" w:line="240" w:lineRule="auto"/>
      </w:pPr>
      <w:r>
        <w:continuationSeparator/>
      </w:r>
    </w:p>
  </w:endnote>
  <w:endnote w:type="continuationNotice" w:id="1">
    <w:p w14:paraId="03E9829D" w14:textId="77777777" w:rsidR="00712590" w:rsidRDefault="0071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vinLight">
    <w:altName w:val="Courier Ne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AAF" w14:textId="5BD3C583" w:rsidR="00A3303E" w:rsidRDefault="00CE6EFD">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5A5D" w14:textId="77777777" w:rsidR="00712590" w:rsidRDefault="00712590" w:rsidP="00BD06A4">
      <w:pPr>
        <w:spacing w:after="0" w:line="240" w:lineRule="auto"/>
      </w:pPr>
      <w:r>
        <w:separator/>
      </w:r>
    </w:p>
  </w:footnote>
  <w:footnote w:type="continuationSeparator" w:id="0">
    <w:p w14:paraId="4EEFD0D7" w14:textId="77777777" w:rsidR="00712590" w:rsidRDefault="00712590" w:rsidP="00BD06A4">
      <w:pPr>
        <w:spacing w:after="0" w:line="240" w:lineRule="auto"/>
      </w:pPr>
      <w:r>
        <w:continuationSeparator/>
      </w:r>
    </w:p>
  </w:footnote>
  <w:footnote w:type="continuationNotice" w:id="1">
    <w:p w14:paraId="604FC556" w14:textId="77777777" w:rsidR="00712590" w:rsidRDefault="00712590">
      <w:pPr>
        <w:spacing w:after="0" w:line="240" w:lineRule="auto"/>
      </w:pPr>
    </w:p>
  </w:footnote>
  <w:footnote w:id="2">
    <w:p w14:paraId="21AB4110" w14:textId="1F2E240E" w:rsidR="00D46059" w:rsidRPr="00D46059" w:rsidRDefault="00D46059">
      <w:pPr>
        <w:pStyle w:val="FootnoteText"/>
        <w:rPr>
          <w:rFonts w:ascii="Verdana" w:hAnsi="Verdana"/>
          <w:sz w:val="16"/>
          <w:szCs w:val="16"/>
        </w:rPr>
      </w:pPr>
      <w:r w:rsidRPr="00D46059">
        <w:rPr>
          <w:rStyle w:val="FootnoteReference"/>
          <w:rFonts w:ascii="Verdana" w:hAnsi="Verdana"/>
          <w:sz w:val="16"/>
          <w:szCs w:val="16"/>
        </w:rPr>
        <w:footnoteRef/>
      </w:r>
      <w:r w:rsidRPr="00D46059">
        <w:rPr>
          <w:rFonts w:ascii="Verdana" w:hAnsi="Verdana"/>
          <w:sz w:val="16"/>
          <w:szCs w:val="16"/>
        </w:rPr>
        <w:t xml:space="preserve"> The Executive Committee has delegated authority arrangements in place to a number of Executive sub-committees. </w:t>
      </w:r>
    </w:p>
  </w:footnote>
  <w:footnote w:id="3">
    <w:p w14:paraId="345F575B" w14:textId="35994B3C" w:rsidR="006E200D" w:rsidRPr="00C50FD7" w:rsidRDefault="006E200D">
      <w:pPr>
        <w:pStyle w:val="FootnoteText"/>
        <w:rPr>
          <w:rFonts w:ascii="Verdana" w:hAnsi="Verdana" w:cstheme="minorHAnsi"/>
          <w:sz w:val="16"/>
          <w:szCs w:val="16"/>
        </w:rPr>
      </w:pPr>
      <w:r w:rsidRPr="00C50FD7">
        <w:rPr>
          <w:rStyle w:val="FootnoteReference"/>
          <w:rFonts w:ascii="Verdana" w:hAnsi="Verdana"/>
          <w:sz w:val="16"/>
          <w:szCs w:val="16"/>
        </w:rPr>
        <w:footnoteRef/>
      </w:r>
      <w:r w:rsidRPr="00C50FD7">
        <w:rPr>
          <w:rFonts w:ascii="Verdana" w:hAnsi="Verdana"/>
          <w:sz w:val="16"/>
          <w:szCs w:val="16"/>
        </w:rPr>
        <w:t xml:space="preserve"> </w:t>
      </w:r>
      <w:r w:rsidRPr="00C50FD7">
        <w:rPr>
          <w:rFonts w:ascii="Verdana" w:hAnsi="Verdana" w:cstheme="minorHAnsi"/>
          <w:sz w:val="16"/>
          <w:szCs w:val="16"/>
        </w:rPr>
        <w:t xml:space="preserve">Although the Remediation Committee </w:t>
      </w:r>
      <w:r w:rsidR="00757A9B" w:rsidRPr="00C50FD7">
        <w:rPr>
          <w:rFonts w:ascii="Verdana" w:hAnsi="Verdana" w:cstheme="minorHAnsi"/>
          <w:sz w:val="16"/>
          <w:szCs w:val="16"/>
        </w:rPr>
        <w:t xml:space="preserve">is </w:t>
      </w:r>
      <w:r w:rsidR="003F3B58" w:rsidRPr="00C50FD7">
        <w:rPr>
          <w:rFonts w:ascii="Verdana" w:hAnsi="Verdana" w:cstheme="minorHAnsi"/>
          <w:sz w:val="16"/>
          <w:szCs w:val="16"/>
        </w:rPr>
        <w:t xml:space="preserve">a </w:t>
      </w:r>
      <w:r w:rsidRPr="00C50FD7">
        <w:rPr>
          <w:rFonts w:ascii="Verdana" w:hAnsi="Verdana" w:cstheme="minorHAnsi"/>
          <w:sz w:val="16"/>
          <w:szCs w:val="16"/>
        </w:rPr>
        <w:t xml:space="preserve">POL Board Committee, </w:t>
      </w:r>
      <w:r w:rsidR="00757A9B" w:rsidRPr="00C50FD7">
        <w:rPr>
          <w:rFonts w:ascii="Verdana" w:hAnsi="Verdana" w:cstheme="minorHAnsi"/>
          <w:sz w:val="16"/>
          <w:szCs w:val="16"/>
        </w:rPr>
        <w:t xml:space="preserve">it is </w:t>
      </w:r>
      <w:r w:rsidRPr="00C50FD7">
        <w:rPr>
          <w:rFonts w:ascii="Verdana" w:hAnsi="Verdana" w:cstheme="minorHAnsi"/>
          <w:sz w:val="16"/>
          <w:szCs w:val="16"/>
        </w:rPr>
        <w:t xml:space="preserve"> not included in this matrix. The Remediation Committee has its own delegated authority matrix</w:t>
      </w:r>
      <w:r w:rsidR="00757A9B" w:rsidRPr="00C50FD7">
        <w:rPr>
          <w:rFonts w:ascii="Verdana" w:hAnsi="Verdana" w:cstheme="minorHAnsi"/>
          <w:sz w:val="16"/>
          <w:szCs w:val="16"/>
        </w:rPr>
        <w:t xml:space="preserve">. </w:t>
      </w:r>
      <w:r w:rsidRPr="00C50FD7">
        <w:rPr>
          <w:rFonts w:ascii="Verdana" w:hAnsi="Verdana" w:cstheme="minorHAnsi"/>
          <w:sz w:val="16"/>
          <w:szCs w:val="16"/>
        </w:rPr>
        <w:t xml:space="preserve">. </w:t>
      </w:r>
    </w:p>
  </w:footnote>
  <w:footnote w:id="4">
    <w:p w14:paraId="572979ED" w14:textId="54590D61" w:rsidR="006E200D" w:rsidRPr="00C50FD7" w:rsidRDefault="006E200D">
      <w:pPr>
        <w:pStyle w:val="FootnoteText"/>
        <w:rPr>
          <w:rFonts w:ascii="Verdana" w:hAnsi="Verdana" w:cstheme="minorHAnsi"/>
          <w:sz w:val="16"/>
          <w:szCs w:val="16"/>
        </w:rPr>
      </w:pPr>
      <w:r w:rsidRPr="00C50FD7">
        <w:rPr>
          <w:rStyle w:val="FootnoteReference"/>
          <w:rFonts w:ascii="Verdana" w:hAnsi="Verdana" w:cstheme="minorHAnsi"/>
          <w:sz w:val="16"/>
          <w:szCs w:val="16"/>
        </w:rPr>
        <w:footnoteRef/>
      </w:r>
      <w:r w:rsidRPr="00C50FD7">
        <w:rPr>
          <w:rFonts w:ascii="Verdana" w:hAnsi="Verdana" w:cstheme="minorHAnsi"/>
          <w:sz w:val="16"/>
          <w:szCs w:val="16"/>
        </w:rPr>
        <w:t xml:space="preserve"> The Remuneration Committee has a further detailed matrix setting out the authority for its decision-making and other associated considerations, for example, the principles set out in HM Treasury’s Managing Public Money and the provisions under HM Treasury’s Guidance on Public Sector Pay and Terms and HM Treasury’s Guidance for Approval of Senior Pay.  </w:t>
      </w:r>
    </w:p>
  </w:footnote>
  <w:footnote w:id="5">
    <w:p w14:paraId="636F3000" w14:textId="769E929E" w:rsidR="00D4332E" w:rsidRPr="00C50FD7" w:rsidRDefault="00D4332E">
      <w:pPr>
        <w:pStyle w:val="FootnoteText"/>
        <w:rPr>
          <w:rFonts w:ascii="Verdana" w:hAnsi="Verdana" w:cstheme="minorHAnsi"/>
          <w:sz w:val="16"/>
          <w:szCs w:val="16"/>
        </w:rPr>
      </w:pPr>
      <w:r w:rsidRPr="00C50FD7">
        <w:rPr>
          <w:rStyle w:val="FootnoteReference"/>
          <w:rFonts w:ascii="Verdana" w:hAnsi="Verdana" w:cstheme="minorHAnsi"/>
          <w:sz w:val="16"/>
          <w:szCs w:val="16"/>
        </w:rPr>
        <w:footnoteRef/>
      </w:r>
      <w:r w:rsidRPr="00C50FD7">
        <w:rPr>
          <w:rFonts w:ascii="Verdana" w:hAnsi="Verdana" w:cstheme="minorHAnsi"/>
          <w:sz w:val="16"/>
          <w:szCs w:val="16"/>
        </w:rPr>
        <w:t xml:space="preserve"> An associated undertaking is defined an entity over which a company has significant influence but cannot exercise control (pursuant to International Accounting Standard 28) and normally demonstrated by 20-50% shares held. A subsidiary undertaking is defined as (a) holds a majority of the voting rights in it, (b) or is a member of it and has the right to appoint or remove a majority of its board of directors, or (c) is a member of it and controls alone, pursuant to an agreement with other members, a majority of the voting rights in it (s.1159 Companies Act 2006).  </w:t>
      </w:r>
    </w:p>
  </w:footnote>
  <w:footnote w:id="6">
    <w:p w14:paraId="272D616B" w14:textId="2EA89DF5" w:rsidR="003F3B58" w:rsidRDefault="003F3B58">
      <w:pPr>
        <w:pStyle w:val="FootnoteText"/>
      </w:pPr>
      <w:r>
        <w:rPr>
          <w:rStyle w:val="FootnoteReference"/>
        </w:rPr>
        <w:footnoteRef/>
      </w:r>
      <w:r>
        <w:t xml:space="preserve"> </w:t>
      </w:r>
      <w:r w:rsidRPr="008147FA">
        <w:rPr>
          <w:rFonts w:ascii="Verdana" w:hAnsi="Verdana"/>
          <w:sz w:val="16"/>
          <w:szCs w:val="16"/>
        </w:rPr>
        <w:t>This is a factual analysis that must be conducted on a case-by-case basis.</w:t>
      </w:r>
    </w:p>
  </w:footnote>
  <w:footnote w:id="7">
    <w:p w14:paraId="3FF5BBD8" w14:textId="696181E1" w:rsidR="003F3B58" w:rsidRPr="0070192C" w:rsidRDefault="003F3B58">
      <w:pPr>
        <w:pStyle w:val="FootnoteText"/>
        <w:rPr>
          <w:rFonts w:ascii="Verdana" w:hAnsi="Verdana"/>
          <w:sz w:val="16"/>
          <w:szCs w:val="16"/>
        </w:rPr>
      </w:pPr>
      <w:r w:rsidRPr="00AD2FBF">
        <w:rPr>
          <w:rStyle w:val="FootnoteReference"/>
          <w:rFonts w:ascii="Verdana" w:hAnsi="Verdana"/>
          <w:sz w:val="16"/>
          <w:szCs w:val="16"/>
        </w:rPr>
        <w:footnoteRef/>
      </w:r>
      <w:r w:rsidRPr="00AD2FBF">
        <w:rPr>
          <w:rFonts w:ascii="Verdana" w:hAnsi="Verdana"/>
          <w:sz w:val="16"/>
          <w:szCs w:val="16"/>
        </w:rPr>
        <w:t xml:space="preserve"> Th</w:t>
      </w:r>
      <w:r>
        <w:rPr>
          <w:rFonts w:ascii="Verdana" w:hAnsi="Verdana"/>
          <w:sz w:val="16"/>
          <w:szCs w:val="16"/>
        </w:rPr>
        <w:t>is will be a factually based decision</w:t>
      </w:r>
      <w:r w:rsidRPr="00AD2FBF">
        <w:rPr>
          <w:rFonts w:ascii="Verdana" w:hAnsi="Verdana"/>
          <w:sz w:val="16"/>
          <w:szCs w:val="16"/>
        </w:rPr>
        <w:t xml:space="preserve"> and taken on</w:t>
      </w:r>
      <w:r w:rsidRPr="0070192C">
        <w:rPr>
          <w:rFonts w:ascii="Verdana" w:hAnsi="Verdana"/>
          <w:sz w:val="16"/>
          <w:szCs w:val="16"/>
        </w:rPr>
        <w:t xml:space="preserve"> a case by case basis.</w:t>
      </w:r>
    </w:p>
  </w:footnote>
  <w:footnote w:id="8">
    <w:p w14:paraId="0F92543B" w14:textId="77777777" w:rsidR="003F3B58" w:rsidRPr="0070192C" w:rsidRDefault="003F3B58" w:rsidP="005C5DDE">
      <w:pPr>
        <w:pStyle w:val="FootnoteText"/>
        <w:rPr>
          <w:rFonts w:ascii="Verdana" w:hAnsi="Verdana"/>
          <w:sz w:val="16"/>
          <w:szCs w:val="16"/>
        </w:rPr>
      </w:pPr>
      <w:r w:rsidRPr="0070192C">
        <w:rPr>
          <w:rStyle w:val="FootnoteReference"/>
          <w:rFonts w:ascii="Verdana" w:hAnsi="Verdana"/>
          <w:sz w:val="16"/>
          <w:szCs w:val="16"/>
        </w:rPr>
        <w:footnoteRef/>
      </w:r>
      <w:r w:rsidRPr="0070192C">
        <w:rPr>
          <w:rFonts w:ascii="Verdana" w:hAnsi="Verdana"/>
          <w:sz w:val="16"/>
          <w:szCs w:val="16"/>
        </w:rPr>
        <w:t xml:space="preserve"> Relevant Transaction is any transaction which is </w:t>
      </w:r>
      <w:r w:rsidRPr="0070192C">
        <w:rPr>
          <w:rFonts w:ascii="Verdana" w:hAnsi="Verdana"/>
          <w:sz w:val="16"/>
          <w:szCs w:val="16"/>
          <w:u w:val="single"/>
        </w:rPr>
        <w:t>not</w:t>
      </w:r>
      <w:r w:rsidRPr="0070192C">
        <w:rPr>
          <w:rFonts w:ascii="Verdana" w:hAnsi="Verdana"/>
          <w:sz w:val="16"/>
          <w:szCs w:val="16"/>
        </w:rPr>
        <w:t xml:space="preserve"> (i) in the ordinary course of business, (ii) intra-group; or (iii) approved in the Group Strategic Plan (Article 2). </w:t>
      </w:r>
    </w:p>
  </w:footnote>
  <w:footnote w:id="9">
    <w:p w14:paraId="0A43AD65" w14:textId="77777777" w:rsidR="003F3B58" w:rsidRPr="0070192C" w:rsidRDefault="003F3B58" w:rsidP="002212FF">
      <w:pPr>
        <w:pStyle w:val="FootnoteText"/>
        <w:rPr>
          <w:rFonts w:ascii="Verdana" w:hAnsi="Verdana"/>
          <w:sz w:val="16"/>
          <w:szCs w:val="16"/>
        </w:rPr>
      </w:pPr>
      <w:r w:rsidRPr="0070192C">
        <w:rPr>
          <w:rStyle w:val="FootnoteReference"/>
          <w:rFonts w:ascii="Verdana" w:hAnsi="Verdana"/>
          <w:sz w:val="16"/>
          <w:szCs w:val="16"/>
        </w:rPr>
        <w:footnoteRef/>
      </w:r>
      <w:r w:rsidRPr="0070192C">
        <w:rPr>
          <w:rFonts w:ascii="Verdana" w:hAnsi="Verdana"/>
          <w:sz w:val="16"/>
          <w:szCs w:val="16"/>
        </w:rPr>
        <w:t xml:space="preserve"> As previously defined</w:t>
      </w:r>
    </w:p>
  </w:footnote>
  <w:footnote w:id="10">
    <w:p w14:paraId="3E6E057E" w14:textId="3300793C" w:rsidR="003F3B58" w:rsidRPr="008A2640" w:rsidRDefault="003F3B58">
      <w:pPr>
        <w:pStyle w:val="FootnoteText"/>
        <w:rPr>
          <w:rFonts w:ascii="Verdana" w:hAnsi="Verdana"/>
          <w:sz w:val="16"/>
          <w:szCs w:val="16"/>
        </w:rPr>
      </w:pPr>
      <w:r w:rsidRPr="0070192C">
        <w:rPr>
          <w:rStyle w:val="FootnoteReference"/>
          <w:rFonts w:ascii="Verdana" w:hAnsi="Verdana"/>
          <w:sz w:val="16"/>
          <w:szCs w:val="16"/>
        </w:rPr>
        <w:footnoteRef/>
      </w:r>
      <w:r w:rsidRPr="0070192C">
        <w:rPr>
          <w:rFonts w:ascii="Verdana" w:hAnsi="Verdana"/>
          <w:sz w:val="16"/>
          <w:szCs w:val="16"/>
        </w:rPr>
        <w:t xml:space="preserve"> See appendix to the Matters Reserved to the Board for approvals required for unlimited liabilities and indemn</w:t>
      </w:r>
      <w:r>
        <w:rPr>
          <w:rFonts w:ascii="Verdana" w:hAnsi="Verdana"/>
          <w:sz w:val="16"/>
          <w:szCs w:val="16"/>
        </w:rPr>
        <w:t>ities. There will be instances</w:t>
      </w:r>
      <w:r w:rsidRPr="0070192C">
        <w:rPr>
          <w:rFonts w:ascii="Verdana" w:hAnsi="Verdana"/>
          <w:sz w:val="16"/>
          <w:szCs w:val="16"/>
        </w:rPr>
        <w:t xml:space="preserve"> where there is a risk of lo</w:t>
      </w:r>
      <w:r>
        <w:rPr>
          <w:rFonts w:ascii="Verdana" w:hAnsi="Verdana"/>
          <w:sz w:val="16"/>
          <w:szCs w:val="16"/>
        </w:rPr>
        <w:t xml:space="preserve">ss or liability or a wider risk, such as reputational risk, </w:t>
      </w:r>
      <w:r w:rsidRPr="0070192C">
        <w:rPr>
          <w:rFonts w:ascii="Verdana" w:hAnsi="Verdana"/>
          <w:sz w:val="16"/>
          <w:szCs w:val="16"/>
        </w:rPr>
        <w:t xml:space="preserve">which should be escalated to the Board </w:t>
      </w:r>
      <w:r>
        <w:rPr>
          <w:rFonts w:ascii="Verdana" w:hAnsi="Verdana"/>
          <w:sz w:val="16"/>
          <w:szCs w:val="16"/>
        </w:rPr>
        <w:t>(and, in some instances, the Shar</w:t>
      </w:r>
      <w:r w:rsidRPr="0070192C">
        <w:rPr>
          <w:rFonts w:ascii="Verdana" w:hAnsi="Verdana"/>
          <w:sz w:val="16"/>
          <w:szCs w:val="16"/>
        </w:rPr>
        <w:t>eholder</w:t>
      </w:r>
      <w:r>
        <w:rPr>
          <w:rFonts w:ascii="Verdana" w:hAnsi="Verdana"/>
          <w:sz w:val="16"/>
          <w:szCs w:val="16"/>
        </w:rPr>
        <w:t>, for example where a proposal could be deemed to be “novel or contentious”</w:t>
      </w:r>
      <w:r w:rsidRPr="0070192C">
        <w:rPr>
          <w:rFonts w:ascii="Verdana" w:hAnsi="Verdana"/>
          <w:sz w:val="16"/>
          <w:szCs w:val="16"/>
        </w:rPr>
        <w:t>). These instances may also come under the matters requiring Shareholder consent.</w:t>
      </w:r>
    </w:p>
  </w:footnote>
  <w:footnote w:id="11">
    <w:p w14:paraId="77140268" w14:textId="3129049B" w:rsidR="003F3B58" w:rsidRPr="009A2A40" w:rsidRDefault="003F3B58" w:rsidP="00DB3E10">
      <w:pPr>
        <w:pStyle w:val="FootnoteText"/>
        <w:rPr>
          <w:rFonts w:ascii="Verdana" w:hAnsi="Verdana"/>
          <w:sz w:val="16"/>
          <w:szCs w:val="16"/>
        </w:rPr>
      </w:pPr>
      <w:r w:rsidRPr="009A2A40">
        <w:rPr>
          <w:rStyle w:val="FootnoteReference"/>
          <w:rFonts w:ascii="Verdana" w:hAnsi="Verdana"/>
          <w:sz w:val="16"/>
          <w:szCs w:val="16"/>
        </w:rPr>
        <w:footnoteRef/>
      </w:r>
      <w:r w:rsidRPr="009A2A40">
        <w:rPr>
          <w:rFonts w:ascii="Verdana" w:hAnsi="Verdana"/>
          <w:sz w:val="16"/>
          <w:szCs w:val="16"/>
        </w:rPr>
        <w:t xml:space="preserve"> Standard liabilities and indemnities do not require additional approvals or Board oversight.  </w:t>
      </w:r>
      <w:r w:rsidRPr="008A2640">
        <w:rPr>
          <w:rFonts w:ascii="Verdana" w:hAnsi="Verdana"/>
          <w:sz w:val="16"/>
          <w:szCs w:val="16"/>
        </w:rPr>
        <w:t>There are certain matters where there is a risk of loss or liability or a wider risk which should be escalated to the</w:t>
      </w:r>
      <w:r>
        <w:rPr>
          <w:rFonts w:ascii="Verdana" w:hAnsi="Verdana"/>
          <w:sz w:val="16"/>
          <w:szCs w:val="16"/>
        </w:rPr>
        <w:t xml:space="preserve"> Shareholder. </w:t>
      </w:r>
      <w:r w:rsidRPr="008A2640">
        <w:rPr>
          <w:rFonts w:ascii="Verdana" w:hAnsi="Verdana"/>
          <w:sz w:val="16"/>
          <w:szCs w:val="16"/>
        </w:rPr>
        <w:t>These instances may also come under the matters requiring Shareholder</w:t>
      </w:r>
      <w:r>
        <w:rPr>
          <w:rFonts w:ascii="Verdana" w:hAnsi="Verdana"/>
          <w:sz w:val="16"/>
          <w:szCs w:val="16"/>
        </w:rPr>
        <w:t xml:space="preserve"> </w:t>
      </w:r>
      <w:r w:rsidRPr="008A2640">
        <w:rPr>
          <w:rFonts w:ascii="Verdana" w:hAnsi="Verdana"/>
          <w:sz w:val="16"/>
          <w:szCs w:val="16"/>
        </w:rPr>
        <w:t>consent.</w:t>
      </w:r>
      <w:r>
        <w:rPr>
          <w:rFonts w:ascii="Verdana" w:hAnsi="Verdana"/>
          <w:sz w:val="16"/>
          <w:szCs w:val="16"/>
        </w:rPr>
        <w:t xml:space="preserve"> Please refer to the Matters Reserved to the Board.</w:t>
      </w:r>
    </w:p>
  </w:footnote>
  <w:footnote w:id="12">
    <w:p w14:paraId="04C6D7D3" w14:textId="38DD2D16" w:rsidR="002E77C3" w:rsidRPr="006C5FE8" w:rsidRDefault="002E77C3" w:rsidP="002E77C3">
      <w:pPr>
        <w:pStyle w:val="FootnoteText"/>
        <w:rPr>
          <w:rFonts w:ascii="Verdana" w:hAnsi="Verdana"/>
          <w:sz w:val="16"/>
          <w:szCs w:val="16"/>
        </w:rPr>
      </w:pPr>
      <w:r w:rsidRPr="006C5FE8">
        <w:rPr>
          <w:rStyle w:val="FootnoteReference"/>
          <w:rFonts w:ascii="Verdana" w:hAnsi="Verdana"/>
          <w:sz w:val="16"/>
          <w:szCs w:val="16"/>
        </w:rPr>
        <w:footnoteRef/>
      </w:r>
      <w:r w:rsidRPr="006C5FE8">
        <w:rPr>
          <w:rFonts w:ascii="Verdana" w:hAnsi="Verdana"/>
          <w:sz w:val="16"/>
          <w:szCs w:val="16"/>
        </w:rPr>
        <w:t xml:space="preserve"> Encompassing: salary, share options, bonuses</w:t>
      </w:r>
      <w:r>
        <w:rPr>
          <w:rFonts w:ascii="Verdana" w:hAnsi="Verdana"/>
          <w:sz w:val="16"/>
          <w:szCs w:val="16"/>
        </w:rPr>
        <w:t xml:space="preserve"> (including long-term and short-term incentive plans), benefits in kind and pension rights. Exit packages outside the Group policies and procedures will also require approval.  </w:t>
      </w:r>
    </w:p>
  </w:footnote>
  <w:footnote w:id="13">
    <w:p w14:paraId="65B2AA05" w14:textId="6C61F59D" w:rsidR="002E77C3" w:rsidRPr="003D2FCD" w:rsidRDefault="002E77C3" w:rsidP="002E77C3">
      <w:pPr>
        <w:pStyle w:val="FootnoteText"/>
        <w:rPr>
          <w:rFonts w:ascii="Verdana" w:hAnsi="Verdana"/>
          <w:sz w:val="16"/>
          <w:szCs w:val="16"/>
        </w:rPr>
      </w:pPr>
      <w:r w:rsidRPr="003D2FCD">
        <w:rPr>
          <w:rStyle w:val="FootnoteReference"/>
          <w:rFonts w:ascii="Verdana" w:hAnsi="Verdana"/>
          <w:sz w:val="16"/>
          <w:szCs w:val="16"/>
        </w:rPr>
        <w:footnoteRef/>
      </w:r>
      <w:r w:rsidRPr="003D2FCD">
        <w:rPr>
          <w:rFonts w:ascii="Verdana" w:hAnsi="Verdana"/>
          <w:sz w:val="16"/>
          <w:szCs w:val="16"/>
        </w:rPr>
        <w:t xml:space="preserve"> As defined above. </w:t>
      </w:r>
    </w:p>
  </w:footnote>
  <w:footnote w:id="14">
    <w:p w14:paraId="5D5D452C" w14:textId="6D9554DA" w:rsidR="002E77C3" w:rsidRPr="00CA1FD2" w:rsidRDefault="002E77C3" w:rsidP="002E77C3">
      <w:pPr>
        <w:tabs>
          <w:tab w:val="left" w:pos="709"/>
        </w:tabs>
        <w:autoSpaceDE w:val="0"/>
        <w:autoSpaceDN w:val="0"/>
        <w:adjustRightInd w:val="0"/>
        <w:spacing w:after="60" w:line="240" w:lineRule="auto"/>
        <w:jc w:val="both"/>
        <w:rPr>
          <w:rFonts w:ascii="Verdana" w:hAnsi="Verdana" w:cs="Arial"/>
          <w:color w:val="000000"/>
          <w:sz w:val="16"/>
          <w:szCs w:val="16"/>
        </w:rPr>
      </w:pPr>
      <w:r w:rsidRPr="003D2FCD">
        <w:rPr>
          <w:rStyle w:val="FootnoteReference"/>
          <w:rFonts w:ascii="Verdana" w:hAnsi="Verdana"/>
          <w:sz w:val="16"/>
          <w:szCs w:val="16"/>
        </w:rPr>
        <w:footnoteRef/>
      </w:r>
      <w:r w:rsidRPr="00CA1FD2">
        <w:rPr>
          <w:rFonts w:ascii="Verdana" w:hAnsi="Verdana" w:cs="Arial"/>
          <w:color w:val="000000"/>
          <w:sz w:val="16"/>
          <w:szCs w:val="16"/>
        </w:rPr>
        <w:t>The POL ARC shall review whether any remuneration policy adopted by the Group, or the implementation of any such policy is consistent with the risk appetite particularly in relation to conduct risk.</w:t>
      </w:r>
    </w:p>
  </w:footnote>
  <w:footnote w:id="15">
    <w:p w14:paraId="47024EE4" w14:textId="48112154" w:rsidR="002E77C3" w:rsidRPr="00CA1FD2" w:rsidRDefault="002E77C3" w:rsidP="002E77C3">
      <w:pPr>
        <w:pStyle w:val="FootnoteText"/>
        <w:rPr>
          <w:rFonts w:ascii="Verdana" w:hAnsi="Verdana"/>
          <w:sz w:val="16"/>
          <w:szCs w:val="16"/>
        </w:rPr>
      </w:pPr>
      <w:r w:rsidRPr="00CA1FD2">
        <w:rPr>
          <w:rStyle w:val="FootnoteReference"/>
          <w:rFonts w:ascii="Verdana" w:hAnsi="Verdana"/>
          <w:sz w:val="16"/>
          <w:szCs w:val="16"/>
        </w:rPr>
        <w:footnoteRef/>
      </w:r>
      <w:r w:rsidRPr="00CA1FD2">
        <w:rPr>
          <w:rFonts w:ascii="Verdana" w:hAnsi="Verdana"/>
          <w:sz w:val="16"/>
          <w:szCs w:val="16"/>
        </w:rPr>
        <w:t xml:space="preserve"> As defined above. </w:t>
      </w:r>
    </w:p>
  </w:footnote>
  <w:footnote w:id="16">
    <w:p w14:paraId="27ED3320" w14:textId="152C3D92" w:rsidR="002E77C3" w:rsidRDefault="002E77C3" w:rsidP="002E77C3">
      <w:pPr>
        <w:pStyle w:val="FootnoteText"/>
      </w:pPr>
      <w:r w:rsidRPr="00CA1FD2">
        <w:rPr>
          <w:rStyle w:val="FootnoteReference"/>
          <w:rFonts w:ascii="Verdana" w:hAnsi="Verdana"/>
          <w:sz w:val="16"/>
          <w:szCs w:val="16"/>
        </w:rPr>
        <w:footnoteRef/>
      </w:r>
      <w:r w:rsidRPr="00CA1FD2">
        <w:rPr>
          <w:rFonts w:ascii="Verdana" w:hAnsi="Verdana"/>
          <w:sz w:val="16"/>
          <w:szCs w:val="16"/>
        </w:rPr>
        <w:t xml:space="preserve"> As defined above.</w:t>
      </w:r>
      <w:r>
        <w:t xml:space="preserve"> </w:t>
      </w:r>
    </w:p>
  </w:footnote>
  <w:footnote w:id="17">
    <w:p w14:paraId="2C250D30" w14:textId="77777777" w:rsidR="002E77C3" w:rsidRPr="00A55D49" w:rsidRDefault="002E77C3" w:rsidP="002E77C3">
      <w:pPr>
        <w:pStyle w:val="FootnoteText"/>
        <w:rPr>
          <w:rFonts w:ascii="Verdana" w:hAnsi="Verdana"/>
          <w:sz w:val="16"/>
          <w:szCs w:val="16"/>
        </w:rPr>
      </w:pPr>
      <w:r w:rsidRPr="00A55D49">
        <w:rPr>
          <w:rStyle w:val="FootnoteReference"/>
          <w:rFonts w:ascii="Verdana" w:hAnsi="Verdana"/>
          <w:sz w:val="16"/>
          <w:szCs w:val="16"/>
        </w:rPr>
        <w:footnoteRef/>
      </w:r>
      <w:r w:rsidRPr="00A55D49">
        <w:rPr>
          <w:rFonts w:ascii="Verdana" w:hAnsi="Verdana"/>
          <w:sz w:val="16"/>
          <w:szCs w:val="16"/>
        </w:rPr>
        <w:t xml:space="preserve"> This consists of advisors specifically mentioned in the Group Annual Report &amp; Accounts including but not limited to, the Group’s solicitors, actuary and financial advisors.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2B9A" w14:textId="4BA32F57" w:rsidR="00DC7685" w:rsidRDefault="00DC7685">
    <w:pPr>
      <w:pStyle w:val="Header"/>
    </w:pPr>
    <w:r>
      <w:rPr>
        <w:noProof/>
      </w:rPr>
      <mc:AlternateContent>
        <mc:Choice Requires="wps">
          <w:drawing>
            <wp:anchor distT="0" distB="0" distL="0" distR="0" simplePos="0" relativeHeight="251660289" behindDoc="0" locked="0" layoutInCell="1" allowOverlap="1" wp14:anchorId="4E5BF552" wp14:editId="26F8E8F3">
              <wp:simplePos x="635" y="635"/>
              <wp:positionH relativeFrom="page">
                <wp:align>left</wp:align>
              </wp:positionH>
              <wp:positionV relativeFrom="page">
                <wp:align>top</wp:align>
              </wp:positionV>
              <wp:extent cx="2968625" cy="342900"/>
              <wp:effectExtent l="0" t="0" r="3175" b="0"/>
              <wp:wrapNone/>
              <wp:docPr id="3" name="Text Box 3" descr="Post Office Limited - Document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8625" cy="342900"/>
                      </a:xfrm>
                      <a:prstGeom prst="rect">
                        <a:avLst/>
                      </a:prstGeom>
                      <a:noFill/>
                      <a:ln>
                        <a:noFill/>
                      </a:ln>
                    </wps:spPr>
                    <wps:txbx>
                      <w:txbxContent>
                        <w:p w14:paraId="7CFF68C8" w14:textId="6D63C13B" w:rsidR="00DC7685" w:rsidRPr="00DC7685" w:rsidRDefault="00DC7685" w:rsidP="00DC7685">
                          <w:pPr>
                            <w:spacing w:after="0"/>
                            <w:rPr>
                              <w:rFonts w:ascii="Calibri" w:eastAsia="Calibri" w:hAnsi="Calibri" w:cs="Calibri"/>
                              <w:noProof/>
                              <w:color w:val="737373"/>
                              <w:sz w:val="20"/>
                              <w:szCs w:val="20"/>
                            </w:rPr>
                          </w:pPr>
                          <w:r w:rsidRPr="00DC7685">
                            <w:rPr>
                              <w:rFonts w:ascii="Calibri" w:eastAsia="Calibri" w:hAnsi="Calibri" w:cs="Calibri"/>
                              <w:noProof/>
                              <w:color w:val="737373"/>
                              <w:sz w:val="20"/>
                              <w:szCs w:val="20"/>
                            </w:rPr>
                            <w:t>Post Office Limited - Document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5BF552" id="_x0000_t202" coordsize="21600,21600" o:spt="202" path="m,l,21600r21600,l21600,xe">
              <v:stroke joinstyle="miter"/>
              <v:path gradientshapeok="t" o:connecttype="rect"/>
            </v:shapetype>
            <v:shape id="Text Box 3" o:spid="_x0000_s1026" type="#_x0000_t202" alt="Post Office Limited - Document Classification: PUBLIC" style="position:absolute;margin-left:0;margin-top:0;width:233.75pt;height:27pt;z-index:25166028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" filled="f" stroked="f">
              <v:textbox style="mso-fit-shape-to-text:t" inset="20pt,15pt,0,0">
                <w:txbxContent>
                  <w:p w14:paraId="7CFF68C8" w14:textId="6D63C13B" w:rsidR="00DC7685" w:rsidRPr="00DC7685" w:rsidRDefault="00DC7685" w:rsidP="00DC7685">
                    <w:pPr>
                      <w:spacing w:after="0"/>
                      <w:rPr>
                        <w:rFonts w:ascii="Calibri" w:eastAsia="Calibri" w:hAnsi="Calibri" w:cs="Calibri"/>
                        <w:noProof/>
                        <w:color w:val="737373"/>
                        <w:sz w:val="20"/>
                        <w:szCs w:val="20"/>
                      </w:rPr>
                    </w:pPr>
                    <w:r w:rsidRPr="00DC7685">
                      <w:rPr>
                        <w:rFonts w:ascii="Calibri" w:eastAsia="Calibri" w:hAnsi="Calibri" w:cs="Calibri"/>
                        <w:noProof/>
                        <w:color w:val="737373"/>
                        <w:sz w:val="20"/>
                        <w:szCs w:val="20"/>
                      </w:rPr>
                      <w:t>Post Office Limited - Document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E4F" w14:textId="4B6746B2" w:rsidR="00570CFE" w:rsidRDefault="00570CFE">
    <w:pPr>
      <w:pStyle w:val="Header"/>
      <w:rPr>
        <w:rFonts w:ascii="Verdana" w:hAnsi="Verdana"/>
        <w:b/>
        <w:sz w:val="24"/>
        <w:szCs w:val="24"/>
      </w:rPr>
    </w:pPr>
    <w:r w:rsidRPr="002174AF">
      <w:rPr>
        <w:rFonts w:ascii="Verdana" w:hAnsi="Verdana"/>
        <w:b/>
        <w:noProof/>
        <w:sz w:val="24"/>
        <w:szCs w:val="24"/>
        <w:lang w:eastAsia="en-GB"/>
      </w:rPr>
      <mc:AlternateContent>
        <mc:Choice Requires="wps">
          <w:drawing>
            <wp:anchor distT="45720" distB="45720" distL="114300" distR="114300" simplePos="0" relativeHeight="251658241" behindDoc="0" locked="0" layoutInCell="1" allowOverlap="1" wp14:anchorId="79D764B1" wp14:editId="540FEAFC">
              <wp:simplePos x="0" y="0"/>
              <wp:positionH relativeFrom="column">
                <wp:posOffset>8360410</wp:posOffset>
              </wp:positionH>
              <wp:positionV relativeFrom="paragraph">
                <wp:posOffset>-173355</wp:posOffset>
              </wp:positionV>
              <wp:extent cx="6244590" cy="1106170"/>
              <wp:effectExtent l="0" t="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1106170"/>
                      </a:xfrm>
                      <a:prstGeom prst="rect">
                        <a:avLst/>
                      </a:prstGeom>
                      <a:solidFill>
                        <a:srgbClr val="FFFFFF"/>
                      </a:solidFill>
                      <a:ln w="9525">
                        <a:noFill/>
                        <a:miter lim="800000"/>
                        <a:headEnd/>
                        <a:tailEnd/>
                      </a:ln>
                    </wps:spPr>
                    <wps:txbx>
                      <w:txbxContent>
                        <w:p w14:paraId="1EE90172" w14:textId="430C9F1F" w:rsidR="00570CFE" w:rsidRPr="007D1EFB" w:rsidRDefault="00C61E7A" w:rsidP="00052379">
                          <w:pPr>
                            <w:rPr>
                              <w:rFonts w:ascii="Verdana" w:hAnsi="Verdana"/>
                              <w:sz w:val="16"/>
                            </w:rPr>
                          </w:pPr>
                          <w:r>
                            <w:rPr>
                              <w:rFonts w:ascii="Verdana" w:hAnsi="Verdana"/>
                              <w:sz w:val="16"/>
                              <w:u w:val="single"/>
                            </w:rPr>
                            <w:t>DBT</w:t>
                          </w:r>
                          <w:r w:rsidR="00570CFE">
                            <w:rPr>
                              <w:rFonts w:ascii="Verdana" w:hAnsi="Verdana"/>
                              <w:sz w:val="16"/>
                              <w:u w:val="single"/>
                            </w:rPr>
                            <w:t>:</w:t>
                          </w:r>
                          <w:r w:rsidR="00570CFE" w:rsidRPr="007D1EFB">
                            <w:rPr>
                              <w:rFonts w:ascii="Verdana" w:hAnsi="Verdana"/>
                              <w:sz w:val="16"/>
                            </w:rPr>
                            <w:t xml:space="preserve"> Department </w:t>
                          </w:r>
                          <w:r>
                            <w:rPr>
                              <w:rFonts w:ascii="Verdana" w:hAnsi="Verdana"/>
                              <w:sz w:val="16"/>
                            </w:rPr>
                            <w:t xml:space="preserve">for </w:t>
                          </w:r>
                          <w:r w:rsidR="00570CFE" w:rsidRPr="007D1EFB">
                            <w:rPr>
                              <w:rFonts w:ascii="Verdana" w:hAnsi="Verdana"/>
                              <w:sz w:val="16"/>
                            </w:rPr>
                            <w:t>Busines</w:t>
                          </w:r>
                          <w:r>
                            <w:rPr>
                              <w:rFonts w:ascii="Verdana" w:hAnsi="Verdana"/>
                              <w:sz w:val="16"/>
                            </w:rPr>
                            <w:t>s and Trade</w:t>
                          </w:r>
                          <w:r w:rsidR="00570CFE" w:rsidRPr="00052379">
                            <w:rPr>
                              <w:rFonts w:ascii="Verdana" w:hAnsi="Verdana"/>
                              <w:sz w:val="16"/>
                              <w:u w:val="single"/>
                            </w:rPr>
                            <w:br/>
                            <w:t>The Group</w:t>
                          </w:r>
                          <w:r w:rsidR="00570CFE">
                            <w:rPr>
                              <w:rFonts w:ascii="Verdana" w:hAnsi="Verdana"/>
                              <w:sz w:val="16"/>
                              <w:u w:val="single"/>
                            </w:rPr>
                            <w:t xml:space="preserve">/Group </w:t>
                          </w:r>
                          <w:r w:rsidR="00A80126">
                            <w:rPr>
                              <w:rFonts w:ascii="Verdana" w:hAnsi="Verdana"/>
                              <w:sz w:val="16"/>
                              <w:u w:val="single"/>
                            </w:rPr>
                            <w:t>Subsidiary</w:t>
                          </w:r>
                          <w:r w:rsidR="00570CFE" w:rsidRPr="00052379">
                            <w:rPr>
                              <w:rFonts w:ascii="Verdana" w:hAnsi="Verdana"/>
                              <w:sz w:val="16"/>
                              <w:u w:val="single"/>
                            </w:rPr>
                            <w:t>:</w:t>
                          </w:r>
                          <w:r w:rsidR="00570CFE">
                            <w:rPr>
                              <w:rFonts w:ascii="Verdana" w:hAnsi="Verdana"/>
                              <w:sz w:val="16"/>
                            </w:rPr>
                            <w:t xml:space="preserve"> Post Office Limited (POL)</w:t>
                          </w:r>
                          <w:r w:rsidR="0092553F">
                            <w:rPr>
                              <w:rFonts w:ascii="Verdana" w:hAnsi="Verdana"/>
                              <w:sz w:val="16"/>
                            </w:rPr>
                            <w:t xml:space="preserve"> and its wholly owned subsidiary, </w:t>
                          </w:r>
                          <w:r w:rsidR="00570CFE">
                            <w:rPr>
                              <w:rFonts w:ascii="Verdana" w:hAnsi="Verdana"/>
                              <w:sz w:val="16"/>
                            </w:rPr>
                            <w:t>Post Office Management Services Limited (</w:t>
                          </w:r>
                          <w:r w:rsidR="00F912C5">
                            <w:rPr>
                              <w:rFonts w:ascii="Verdana" w:hAnsi="Verdana"/>
                              <w:sz w:val="16"/>
                            </w:rPr>
                            <w:t xml:space="preserve">T/A </w:t>
                          </w:r>
                          <w:r w:rsidR="00570CFE">
                            <w:rPr>
                              <w:rFonts w:ascii="Verdana" w:hAnsi="Verdana"/>
                              <w:sz w:val="16"/>
                            </w:rPr>
                            <w:t>Post Office Insurance (POI)</w:t>
                          </w:r>
                          <w:r w:rsidR="00570CFE">
                            <w:rPr>
                              <w:rFonts w:ascii="Verdana" w:hAnsi="Verdana"/>
                              <w:sz w:val="16"/>
                              <w:u w:val="single"/>
                            </w:rPr>
                            <w:br/>
                          </w:r>
                          <w:r w:rsidR="00570CFE" w:rsidRPr="00AB66AF">
                            <w:rPr>
                              <w:rFonts w:ascii="Verdana" w:hAnsi="Verdana"/>
                              <w:sz w:val="16"/>
                              <w:u w:val="single"/>
                            </w:rPr>
                            <w:t>FD</w:t>
                          </w:r>
                          <w:r w:rsidR="00570CFE">
                            <w:rPr>
                              <w:rFonts w:ascii="Verdana" w:hAnsi="Verdana"/>
                              <w:sz w:val="16"/>
                            </w:rPr>
                            <w:t xml:space="preserve">: </w:t>
                          </w:r>
                          <w:r w:rsidR="003878DF" w:rsidRPr="003878DF">
                            <w:rPr>
                              <w:rFonts w:ascii="Verdana" w:hAnsi="Verdana"/>
                              <w:sz w:val="16"/>
                            </w:rPr>
                            <w:t xml:space="preserve">Shareholder Relationship Framework Document </w:t>
                          </w:r>
                          <w:r w:rsidR="007F1FAC">
                            <w:rPr>
                              <w:rFonts w:ascii="Verdana" w:hAnsi="Verdana"/>
                              <w:sz w:val="16"/>
                            </w:rPr>
                            <w:t xml:space="preserve">setting out the relationship between </w:t>
                          </w:r>
                          <w:r w:rsidR="002561ED">
                            <w:rPr>
                              <w:rFonts w:ascii="Verdana" w:hAnsi="Verdana"/>
                              <w:sz w:val="16"/>
                            </w:rPr>
                            <w:t>DBT (</w:t>
                          </w:r>
                          <w:r w:rsidR="007F1FAC">
                            <w:rPr>
                              <w:rFonts w:ascii="Verdana" w:hAnsi="Verdana"/>
                              <w:sz w:val="16"/>
                            </w:rPr>
                            <w:t xml:space="preserve">the </w:t>
                          </w:r>
                          <w:r w:rsidR="00570CFE">
                            <w:rPr>
                              <w:rFonts w:ascii="Verdana" w:hAnsi="Verdana"/>
                              <w:sz w:val="16"/>
                            </w:rPr>
                            <w:t>Shareholde</w:t>
                          </w:r>
                          <w:r w:rsidR="002561ED">
                            <w:rPr>
                              <w:rFonts w:ascii="Verdana" w:hAnsi="Verdana"/>
                              <w:sz w:val="16"/>
                            </w:rPr>
                            <w:t>r)</w:t>
                          </w:r>
                          <w:r w:rsidR="00570CFE">
                            <w:rPr>
                              <w:rFonts w:ascii="Verdana" w:hAnsi="Verdana"/>
                              <w:sz w:val="16"/>
                            </w:rPr>
                            <w:t>, UKGI (Shareholder Representative) &amp; POL</w:t>
                          </w:r>
                          <w:r w:rsidR="00570CFE">
                            <w:rPr>
                              <w:rFonts w:ascii="Verdana" w:hAnsi="Verdana"/>
                              <w:sz w:val="16"/>
                            </w:rPr>
                            <w:br/>
                          </w:r>
                          <w:r w:rsidR="00570CFE" w:rsidRPr="00AB66AF">
                            <w:rPr>
                              <w:rFonts w:ascii="Verdana" w:hAnsi="Verdana"/>
                              <w:sz w:val="16"/>
                              <w:u w:val="single"/>
                            </w:rPr>
                            <w:t>Article</w:t>
                          </w:r>
                          <w:r w:rsidR="00470B4A">
                            <w:rPr>
                              <w:rFonts w:ascii="Verdana" w:hAnsi="Verdana"/>
                              <w:sz w:val="16"/>
                              <w:u w:val="single"/>
                            </w:rPr>
                            <w:t>/s</w:t>
                          </w:r>
                          <w:r w:rsidR="00570CFE">
                            <w:rPr>
                              <w:rFonts w:ascii="Verdana" w:hAnsi="Verdana"/>
                              <w:sz w:val="16"/>
                            </w:rPr>
                            <w:t xml:space="preserve">: Refers to Articles of Association of the Company as effective from 1/4/2020.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764B1" id="_x0000_t202" coordsize="21600,21600" o:spt="202" path="m,l,21600r21600,l21600,xe">
              <v:stroke joinstyle="miter"/>
              <v:path gradientshapeok="t" o:connecttype="rect"/>
            </v:shapetype>
            <v:shape id="Text Box 1" o:spid="_x0000_s1027" type="#_x0000_t202" style="position:absolute;margin-left:658.3pt;margin-top:-13.65pt;width:491.7pt;height:87.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" stroked="f">
              <v:textbox>
                <w:txbxContent>
                  <w:p w14:paraId="1EE90172" w14:textId="430C9F1F" w:rsidR="00570CFE" w:rsidRPr="007D1EFB" w:rsidRDefault="00C61E7A" w:rsidP="00052379">
                    <w:pPr>
                      <w:rPr>
                        <w:rFonts w:ascii="Verdana" w:hAnsi="Verdana"/>
                        <w:sz w:val="16"/>
                      </w:rPr>
                    </w:pPr>
                    <w:r>
                      <w:rPr>
                        <w:rFonts w:ascii="Verdana" w:hAnsi="Verdana"/>
                        <w:sz w:val="16"/>
                        <w:u w:val="single"/>
                      </w:rPr>
                      <w:t>DBT</w:t>
                    </w:r>
                    <w:r w:rsidR="00570CFE">
                      <w:rPr>
                        <w:rFonts w:ascii="Verdana" w:hAnsi="Verdana"/>
                        <w:sz w:val="16"/>
                        <w:u w:val="single"/>
                      </w:rPr>
                      <w:t>:</w:t>
                    </w:r>
                    <w:r w:rsidR="00570CFE" w:rsidRPr="007D1EFB">
                      <w:rPr>
                        <w:rFonts w:ascii="Verdana" w:hAnsi="Verdana"/>
                        <w:sz w:val="16"/>
                      </w:rPr>
                      <w:t xml:space="preserve"> Department </w:t>
                    </w:r>
                    <w:r>
                      <w:rPr>
                        <w:rFonts w:ascii="Verdana" w:hAnsi="Verdana"/>
                        <w:sz w:val="16"/>
                      </w:rPr>
                      <w:t xml:space="preserve">for </w:t>
                    </w:r>
                    <w:r w:rsidR="00570CFE" w:rsidRPr="007D1EFB">
                      <w:rPr>
                        <w:rFonts w:ascii="Verdana" w:hAnsi="Verdana"/>
                        <w:sz w:val="16"/>
                      </w:rPr>
                      <w:t>Busines</w:t>
                    </w:r>
                    <w:r>
                      <w:rPr>
                        <w:rFonts w:ascii="Verdana" w:hAnsi="Verdana"/>
                        <w:sz w:val="16"/>
                      </w:rPr>
                      <w:t>s and Trade</w:t>
                    </w:r>
                    <w:r w:rsidR="00570CFE" w:rsidRPr="00052379">
                      <w:rPr>
                        <w:rFonts w:ascii="Verdana" w:hAnsi="Verdana"/>
                        <w:sz w:val="16"/>
                        <w:u w:val="single"/>
                      </w:rPr>
                      <w:br/>
                      <w:t>The Group</w:t>
                    </w:r>
                    <w:r w:rsidR="00570CFE">
                      <w:rPr>
                        <w:rFonts w:ascii="Verdana" w:hAnsi="Verdana"/>
                        <w:sz w:val="16"/>
                        <w:u w:val="single"/>
                      </w:rPr>
                      <w:t xml:space="preserve">/Group </w:t>
                    </w:r>
                    <w:r w:rsidR="00A80126">
                      <w:rPr>
                        <w:rFonts w:ascii="Verdana" w:hAnsi="Verdana"/>
                        <w:sz w:val="16"/>
                        <w:u w:val="single"/>
                      </w:rPr>
                      <w:t>Subsidiary</w:t>
                    </w:r>
                    <w:r w:rsidR="00570CFE" w:rsidRPr="00052379">
                      <w:rPr>
                        <w:rFonts w:ascii="Verdana" w:hAnsi="Verdana"/>
                        <w:sz w:val="16"/>
                        <w:u w:val="single"/>
                      </w:rPr>
                      <w:t>:</w:t>
                    </w:r>
                    <w:r w:rsidR="00570CFE">
                      <w:rPr>
                        <w:rFonts w:ascii="Verdana" w:hAnsi="Verdana"/>
                        <w:sz w:val="16"/>
                      </w:rPr>
                      <w:t xml:space="preserve"> Post Office Limited (POL)</w:t>
                    </w:r>
                    <w:r w:rsidR="0092553F">
                      <w:rPr>
                        <w:rFonts w:ascii="Verdana" w:hAnsi="Verdana"/>
                        <w:sz w:val="16"/>
                      </w:rPr>
                      <w:t xml:space="preserve"> and its wholly owned subsidiary, </w:t>
                    </w:r>
                    <w:r w:rsidR="00570CFE">
                      <w:rPr>
                        <w:rFonts w:ascii="Verdana" w:hAnsi="Verdana"/>
                        <w:sz w:val="16"/>
                      </w:rPr>
                      <w:t>Post Office Management Services Limited (</w:t>
                    </w:r>
                    <w:r w:rsidR="00F912C5">
                      <w:rPr>
                        <w:rFonts w:ascii="Verdana" w:hAnsi="Verdana"/>
                        <w:sz w:val="16"/>
                      </w:rPr>
                      <w:t xml:space="preserve">T/A </w:t>
                    </w:r>
                    <w:r w:rsidR="00570CFE">
                      <w:rPr>
                        <w:rFonts w:ascii="Verdana" w:hAnsi="Verdana"/>
                        <w:sz w:val="16"/>
                      </w:rPr>
                      <w:t>Post Office Insurance (POI)</w:t>
                    </w:r>
                    <w:r w:rsidR="00570CFE">
                      <w:rPr>
                        <w:rFonts w:ascii="Verdana" w:hAnsi="Verdana"/>
                        <w:sz w:val="16"/>
                        <w:u w:val="single"/>
                      </w:rPr>
                      <w:br/>
                    </w:r>
                    <w:r w:rsidR="00570CFE" w:rsidRPr="00AB66AF">
                      <w:rPr>
                        <w:rFonts w:ascii="Verdana" w:hAnsi="Verdana"/>
                        <w:sz w:val="16"/>
                        <w:u w:val="single"/>
                      </w:rPr>
                      <w:t>FD</w:t>
                    </w:r>
                    <w:r w:rsidR="00570CFE">
                      <w:rPr>
                        <w:rFonts w:ascii="Verdana" w:hAnsi="Verdana"/>
                        <w:sz w:val="16"/>
                      </w:rPr>
                      <w:t xml:space="preserve">: </w:t>
                    </w:r>
                    <w:r w:rsidR="003878DF" w:rsidRPr="003878DF">
                      <w:rPr>
                        <w:rFonts w:ascii="Verdana" w:hAnsi="Verdana"/>
                        <w:sz w:val="16"/>
                      </w:rPr>
                      <w:t xml:space="preserve">Shareholder Relationship Framework Document </w:t>
                    </w:r>
                    <w:r w:rsidR="007F1FAC">
                      <w:rPr>
                        <w:rFonts w:ascii="Verdana" w:hAnsi="Verdana"/>
                        <w:sz w:val="16"/>
                      </w:rPr>
                      <w:t xml:space="preserve">setting out the relationship between </w:t>
                    </w:r>
                    <w:r w:rsidR="002561ED">
                      <w:rPr>
                        <w:rFonts w:ascii="Verdana" w:hAnsi="Verdana"/>
                        <w:sz w:val="16"/>
                      </w:rPr>
                      <w:t>DBT (</w:t>
                    </w:r>
                    <w:r w:rsidR="007F1FAC">
                      <w:rPr>
                        <w:rFonts w:ascii="Verdana" w:hAnsi="Verdana"/>
                        <w:sz w:val="16"/>
                      </w:rPr>
                      <w:t xml:space="preserve">the </w:t>
                    </w:r>
                    <w:r w:rsidR="00570CFE">
                      <w:rPr>
                        <w:rFonts w:ascii="Verdana" w:hAnsi="Verdana"/>
                        <w:sz w:val="16"/>
                      </w:rPr>
                      <w:t>Shareholde</w:t>
                    </w:r>
                    <w:r w:rsidR="002561ED">
                      <w:rPr>
                        <w:rFonts w:ascii="Verdana" w:hAnsi="Verdana"/>
                        <w:sz w:val="16"/>
                      </w:rPr>
                      <w:t>r)</w:t>
                    </w:r>
                    <w:r w:rsidR="00570CFE">
                      <w:rPr>
                        <w:rFonts w:ascii="Verdana" w:hAnsi="Verdana"/>
                        <w:sz w:val="16"/>
                      </w:rPr>
                      <w:t>, UKGI (Shareholder Representative) &amp; POL</w:t>
                    </w:r>
                    <w:r w:rsidR="00570CFE">
                      <w:rPr>
                        <w:rFonts w:ascii="Verdana" w:hAnsi="Verdana"/>
                        <w:sz w:val="16"/>
                      </w:rPr>
                      <w:br/>
                    </w:r>
                    <w:r w:rsidR="00570CFE" w:rsidRPr="00AB66AF">
                      <w:rPr>
                        <w:rFonts w:ascii="Verdana" w:hAnsi="Verdana"/>
                        <w:sz w:val="16"/>
                        <w:u w:val="single"/>
                      </w:rPr>
                      <w:t>Article</w:t>
                    </w:r>
                    <w:r w:rsidR="00470B4A">
                      <w:rPr>
                        <w:rFonts w:ascii="Verdana" w:hAnsi="Verdana"/>
                        <w:sz w:val="16"/>
                        <w:u w:val="single"/>
                      </w:rPr>
                      <w:t>/s</w:t>
                    </w:r>
                    <w:r w:rsidR="00570CFE">
                      <w:rPr>
                        <w:rFonts w:ascii="Verdana" w:hAnsi="Verdana"/>
                        <w:sz w:val="16"/>
                      </w:rPr>
                      <w:t xml:space="preserve">: Refers to Articles of Association of the Company as effective from 1/4/2020. </w:t>
                    </w:r>
                  </w:p>
                </w:txbxContent>
              </v:textbox>
              <w10:wrap type="square"/>
            </v:shape>
          </w:pict>
        </mc:Fallback>
      </mc:AlternateContent>
    </w:r>
    <w:r w:rsidRPr="002174AF">
      <w:rPr>
        <w:rFonts w:ascii="Verdana" w:hAnsi="Verdana"/>
        <w:b/>
        <w:noProof/>
        <w:sz w:val="24"/>
        <w:szCs w:val="24"/>
        <w:lang w:eastAsia="en-GB"/>
      </w:rPr>
      <mc:AlternateContent>
        <mc:Choice Requires="wps">
          <w:drawing>
            <wp:anchor distT="45720" distB="45720" distL="114300" distR="114300" simplePos="0" relativeHeight="251658240" behindDoc="0" locked="0" layoutInCell="1" allowOverlap="1" wp14:anchorId="7F2855C6" wp14:editId="5CB3C1B7">
              <wp:simplePos x="0" y="0"/>
              <wp:positionH relativeFrom="column">
                <wp:posOffset>2302510</wp:posOffset>
              </wp:positionH>
              <wp:positionV relativeFrom="paragraph">
                <wp:posOffset>-203835</wp:posOffset>
              </wp:positionV>
              <wp:extent cx="6057900" cy="1404620"/>
              <wp:effectExtent l="0" t="0" r="0"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noFill/>
                        <a:miter lim="800000"/>
                        <a:headEnd/>
                        <a:tailEnd/>
                      </a:ln>
                    </wps:spPr>
                    <wps:txbx>
                      <w:txbxContent>
                        <w:p w14:paraId="20021E3B" w14:textId="6B58DBD1" w:rsidR="00570CFE" w:rsidRPr="00DB59D8" w:rsidRDefault="00570CFE">
                          <w:pPr>
                            <w:rPr>
                              <w:rFonts w:ascii="Verdana" w:hAnsi="Verdana"/>
                              <w:sz w:val="16"/>
                            </w:rPr>
                          </w:pPr>
                          <w:r w:rsidRPr="002174AF">
                            <w:rPr>
                              <w:rFonts w:ascii="Verdana" w:hAnsi="Verdana"/>
                              <w:b/>
                              <w:sz w:val="16"/>
                            </w:rPr>
                            <w:t>Key</w:t>
                          </w:r>
                          <w:r>
                            <w:rPr>
                              <w:rFonts w:ascii="Verdana" w:hAnsi="Verdana"/>
                              <w:sz w:val="16"/>
                            </w:rPr>
                            <w:br/>
                          </w:r>
                          <w:r w:rsidRPr="002174AF">
                            <w:rPr>
                              <w:rFonts w:ascii="Verdana" w:hAnsi="Verdana"/>
                              <w:sz w:val="16"/>
                              <w:u w:val="single"/>
                            </w:rPr>
                            <w:t>Approve:</w:t>
                          </w:r>
                          <w:r>
                            <w:rPr>
                              <w:rFonts w:ascii="Verdana" w:hAnsi="Verdana"/>
                              <w:sz w:val="16"/>
                            </w:rPr>
                            <w:t xml:space="preserve"> </w:t>
                          </w:r>
                          <w:r>
                            <w:rPr>
                              <w:rFonts w:ascii="Verdana" w:hAnsi="Verdana"/>
                              <w:sz w:val="16"/>
                              <w:szCs w:val="16"/>
                            </w:rPr>
                            <w:t>Fin</w:t>
                          </w:r>
                          <w:r w:rsidRPr="00592139">
                            <w:rPr>
                              <w:rFonts w:ascii="Verdana" w:hAnsi="Verdana"/>
                              <w:sz w:val="16"/>
                              <w:szCs w:val="16"/>
                            </w:rPr>
                            <w:t xml:space="preserve">al authorisation of a decision as worded under the Articles of Association and FD. </w:t>
                          </w:r>
                          <w:r w:rsidRPr="002174AF">
                            <w:rPr>
                              <w:rFonts w:ascii="Verdana" w:hAnsi="Verdana"/>
                              <w:sz w:val="16"/>
                              <w:u w:val="single"/>
                            </w:rPr>
                            <w:br/>
                            <w:t xml:space="preserve">Approve for </w:t>
                          </w:r>
                          <w:r w:rsidRPr="00592139">
                            <w:rPr>
                              <w:rFonts w:ascii="Verdana" w:hAnsi="Verdana"/>
                              <w:sz w:val="16"/>
                              <w:u w:val="single"/>
                            </w:rPr>
                            <w:t>recommendation:</w:t>
                          </w:r>
                          <w:r w:rsidRPr="00592139">
                            <w:rPr>
                              <w:rFonts w:ascii="Verdana" w:hAnsi="Verdana"/>
                              <w:sz w:val="16"/>
                            </w:rPr>
                            <w:t xml:space="preserve"> Authorisation to permit the request to be considered at the next governance stage. </w:t>
                          </w:r>
                          <w:r w:rsidRPr="00592139">
                            <w:rPr>
                              <w:rFonts w:ascii="Verdana" w:hAnsi="Verdana"/>
                              <w:sz w:val="16"/>
                              <w:u w:val="single"/>
                            </w:rPr>
                            <w:br/>
                            <w:t>Consent</w:t>
                          </w:r>
                          <w:r w:rsidRPr="00592139">
                            <w:rPr>
                              <w:rFonts w:ascii="Verdana" w:hAnsi="Verdana"/>
                              <w:sz w:val="16"/>
                            </w:rPr>
                            <w:t xml:space="preserve">: </w:t>
                          </w:r>
                          <w:r w:rsidRPr="00592139">
                            <w:rPr>
                              <w:rFonts w:ascii="Verdana" w:hAnsi="Verdana"/>
                              <w:sz w:val="16"/>
                              <w:szCs w:val="16"/>
                            </w:rPr>
                            <w:t xml:space="preserve">Permission is granted to proceed with a decision authorised by the Company as worded under the Articles of Association and FD. </w:t>
                          </w:r>
                          <w:r>
                            <w:rPr>
                              <w:rFonts w:ascii="Verdana" w:hAnsi="Verdana"/>
                              <w:sz w:val="16"/>
                            </w:rPr>
                            <w:br/>
                          </w:r>
                          <w:r>
                            <w:rPr>
                              <w:rFonts w:ascii="Verdana" w:hAnsi="Verdana"/>
                              <w:sz w:val="16"/>
                              <w:u w:val="single"/>
                            </w:rPr>
                            <w:t>Approve subject to Shareholder consent</w:t>
                          </w:r>
                          <w:r>
                            <w:rPr>
                              <w:rFonts w:ascii="Verdana" w:hAnsi="Verdana"/>
                              <w:sz w:val="16"/>
                            </w:rPr>
                            <w:t xml:space="preserve">: </w:t>
                          </w:r>
                          <w:r>
                            <w:rPr>
                              <w:rFonts w:ascii="Verdana" w:hAnsi="Verdana"/>
                              <w:sz w:val="16"/>
                              <w:szCs w:val="16"/>
                            </w:rPr>
                            <w:t>The a</w:t>
                          </w:r>
                          <w:r w:rsidRPr="00592139">
                            <w:rPr>
                              <w:rFonts w:ascii="Verdana" w:hAnsi="Verdana"/>
                              <w:sz w:val="16"/>
                              <w:szCs w:val="16"/>
                            </w:rPr>
                            <w:t>uthorisation is only valid once consent</w:t>
                          </w:r>
                          <w:r>
                            <w:rPr>
                              <w:rFonts w:ascii="Verdana" w:hAnsi="Verdana"/>
                              <w:sz w:val="16"/>
                              <w:szCs w:val="16"/>
                            </w:rPr>
                            <w:t xml:space="preserve"> </w:t>
                          </w:r>
                          <w:r w:rsidRPr="00592139">
                            <w:rPr>
                              <w:rFonts w:ascii="Verdana" w:hAnsi="Verdana"/>
                              <w:sz w:val="16"/>
                              <w:szCs w:val="16"/>
                            </w:rPr>
                            <w:t>has been received from the Shareholder as required under the Articles of Association and FD.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855C6" id="Text Box 217" o:spid="_x0000_s1028" type="#_x0000_t202" style="position:absolute;margin-left:181.3pt;margin-top:-16.05pt;width:4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bH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" stroked="f">
              <v:textbox style="mso-fit-shape-to-text:t">
                <w:txbxContent>
                  <w:p w14:paraId="20021E3B" w14:textId="6B58DBD1" w:rsidR="00570CFE" w:rsidRPr="00DB59D8" w:rsidRDefault="00570CFE">
                    <w:pPr>
                      <w:rPr>
                        <w:rFonts w:ascii="Verdana" w:hAnsi="Verdana"/>
                        <w:sz w:val="16"/>
                      </w:rPr>
                    </w:pPr>
                    <w:r w:rsidRPr="002174AF">
                      <w:rPr>
                        <w:rFonts w:ascii="Verdana" w:hAnsi="Verdana"/>
                        <w:b/>
                        <w:sz w:val="16"/>
                      </w:rPr>
                      <w:t>Key</w:t>
                    </w:r>
                    <w:r>
                      <w:rPr>
                        <w:rFonts w:ascii="Verdana" w:hAnsi="Verdana"/>
                        <w:sz w:val="16"/>
                      </w:rPr>
                      <w:br/>
                    </w:r>
                    <w:r w:rsidRPr="002174AF">
                      <w:rPr>
                        <w:rFonts w:ascii="Verdana" w:hAnsi="Verdana"/>
                        <w:sz w:val="16"/>
                        <w:u w:val="single"/>
                      </w:rPr>
                      <w:t>Approve:</w:t>
                    </w:r>
                    <w:r>
                      <w:rPr>
                        <w:rFonts w:ascii="Verdana" w:hAnsi="Verdana"/>
                        <w:sz w:val="16"/>
                      </w:rPr>
                      <w:t xml:space="preserve"> </w:t>
                    </w:r>
                    <w:r>
                      <w:rPr>
                        <w:rFonts w:ascii="Verdana" w:hAnsi="Verdana"/>
                        <w:sz w:val="16"/>
                        <w:szCs w:val="16"/>
                      </w:rPr>
                      <w:t>Fin</w:t>
                    </w:r>
                    <w:r w:rsidRPr="00592139">
                      <w:rPr>
                        <w:rFonts w:ascii="Verdana" w:hAnsi="Verdana"/>
                        <w:sz w:val="16"/>
                        <w:szCs w:val="16"/>
                      </w:rPr>
                      <w:t xml:space="preserve">al authorisation of a decision as worded under the Articles of Association and FD. </w:t>
                    </w:r>
                    <w:r w:rsidRPr="002174AF">
                      <w:rPr>
                        <w:rFonts w:ascii="Verdana" w:hAnsi="Verdana"/>
                        <w:sz w:val="16"/>
                        <w:u w:val="single"/>
                      </w:rPr>
                      <w:br/>
                      <w:t xml:space="preserve">Approve for </w:t>
                    </w:r>
                    <w:r w:rsidRPr="00592139">
                      <w:rPr>
                        <w:rFonts w:ascii="Verdana" w:hAnsi="Verdana"/>
                        <w:sz w:val="16"/>
                        <w:u w:val="single"/>
                      </w:rPr>
                      <w:t>recommendation:</w:t>
                    </w:r>
                    <w:r w:rsidRPr="00592139">
                      <w:rPr>
                        <w:rFonts w:ascii="Verdana" w:hAnsi="Verdana"/>
                        <w:sz w:val="16"/>
                      </w:rPr>
                      <w:t xml:space="preserve"> Authorisation to permit the request to be considered at the next governance stage. </w:t>
                    </w:r>
                    <w:r w:rsidRPr="00592139">
                      <w:rPr>
                        <w:rFonts w:ascii="Verdana" w:hAnsi="Verdana"/>
                        <w:sz w:val="16"/>
                        <w:u w:val="single"/>
                      </w:rPr>
                      <w:br/>
                      <w:t>Consent</w:t>
                    </w:r>
                    <w:r w:rsidRPr="00592139">
                      <w:rPr>
                        <w:rFonts w:ascii="Verdana" w:hAnsi="Verdana"/>
                        <w:sz w:val="16"/>
                      </w:rPr>
                      <w:t xml:space="preserve">: </w:t>
                    </w:r>
                    <w:r w:rsidRPr="00592139">
                      <w:rPr>
                        <w:rFonts w:ascii="Verdana" w:hAnsi="Verdana"/>
                        <w:sz w:val="16"/>
                        <w:szCs w:val="16"/>
                      </w:rPr>
                      <w:t xml:space="preserve">Permission is granted to proceed with a decision authorised by the Company as worded under the Articles of Association and FD. </w:t>
                    </w:r>
                    <w:r>
                      <w:rPr>
                        <w:rFonts w:ascii="Verdana" w:hAnsi="Verdana"/>
                        <w:sz w:val="16"/>
                      </w:rPr>
                      <w:br/>
                    </w:r>
                    <w:r>
                      <w:rPr>
                        <w:rFonts w:ascii="Verdana" w:hAnsi="Verdana"/>
                        <w:sz w:val="16"/>
                        <w:u w:val="single"/>
                      </w:rPr>
                      <w:t>Approve subject to Shareholder consent</w:t>
                    </w:r>
                    <w:r>
                      <w:rPr>
                        <w:rFonts w:ascii="Verdana" w:hAnsi="Verdana"/>
                        <w:sz w:val="16"/>
                      </w:rPr>
                      <w:t xml:space="preserve">: </w:t>
                    </w:r>
                    <w:r>
                      <w:rPr>
                        <w:rFonts w:ascii="Verdana" w:hAnsi="Verdana"/>
                        <w:sz w:val="16"/>
                        <w:szCs w:val="16"/>
                      </w:rPr>
                      <w:t>The a</w:t>
                    </w:r>
                    <w:r w:rsidRPr="00592139">
                      <w:rPr>
                        <w:rFonts w:ascii="Verdana" w:hAnsi="Verdana"/>
                        <w:sz w:val="16"/>
                        <w:szCs w:val="16"/>
                      </w:rPr>
                      <w:t>uthorisation is only valid once consent</w:t>
                    </w:r>
                    <w:r>
                      <w:rPr>
                        <w:rFonts w:ascii="Verdana" w:hAnsi="Verdana"/>
                        <w:sz w:val="16"/>
                        <w:szCs w:val="16"/>
                      </w:rPr>
                      <w:t xml:space="preserve"> </w:t>
                    </w:r>
                    <w:r w:rsidRPr="00592139">
                      <w:rPr>
                        <w:rFonts w:ascii="Verdana" w:hAnsi="Verdana"/>
                        <w:sz w:val="16"/>
                        <w:szCs w:val="16"/>
                      </w:rPr>
                      <w:t>has been received from the Shareholder as required under the Articles of Association and FD.</w:t>
                    </w:r>
                  </w:p>
                </w:txbxContent>
              </v:textbox>
              <w10:wrap type="square"/>
            </v:shape>
          </w:pict>
        </mc:Fallback>
      </mc:AlternateContent>
    </w:r>
    <w:r w:rsidRPr="00BD06A4">
      <w:rPr>
        <w:rFonts w:ascii="Verdana" w:hAnsi="Verdana"/>
        <w:b/>
        <w:sz w:val="24"/>
        <w:szCs w:val="24"/>
      </w:rPr>
      <w:t>Post Office Limited</w:t>
    </w:r>
    <w:r>
      <w:rPr>
        <w:rFonts w:ascii="Verdana" w:hAnsi="Verdana"/>
        <w:b/>
        <w:sz w:val="24"/>
        <w:szCs w:val="24"/>
      </w:rPr>
      <w:t xml:space="preserve"> (POL) </w:t>
    </w:r>
  </w:p>
  <w:p w14:paraId="4EBF40DD" w14:textId="7424B21E" w:rsidR="00570CFE" w:rsidRPr="00BD06A4" w:rsidRDefault="00570CFE">
    <w:pPr>
      <w:pStyle w:val="Header"/>
      <w:rPr>
        <w:rFonts w:ascii="Verdana" w:hAnsi="Verdana"/>
        <w:b/>
        <w:sz w:val="24"/>
        <w:szCs w:val="24"/>
      </w:rPr>
    </w:pPr>
    <w:r>
      <w:rPr>
        <w:rFonts w:ascii="Verdana" w:hAnsi="Verdana"/>
        <w:b/>
        <w:sz w:val="24"/>
        <w:szCs w:val="24"/>
      </w:rPr>
      <w:t xml:space="preserve">(“the Company”) </w:t>
    </w:r>
  </w:p>
  <w:p w14:paraId="540A9282" w14:textId="2E2FFEE4" w:rsidR="00645EF3" w:rsidRDefault="00570CFE">
    <w:pPr>
      <w:pStyle w:val="Header"/>
      <w:rPr>
        <w:rFonts w:ascii="Verdana" w:hAnsi="Verdana"/>
        <w:b/>
        <w:sz w:val="24"/>
        <w:szCs w:val="24"/>
      </w:rPr>
    </w:pPr>
    <w:r w:rsidRPr="00BD06A4">
      <w:rPr>
        <w:rFonts w:ascii="Verdana" w:hAnsi="Verdana"/>
        <w:b/>
        <w:sz w:val="24"/>
        <w:szCs w:val="24"/>
      </w:rPr>
      <w:t>Delegated Authorities</w:t>
    </w:r>
    <w:r w:rsidR="00D46059">
      <w:rPr>
        <w:rFonts w:ascii="Verdana" w:hAnsi="Verdana"/>
        <w:b/>
        <w:sz w:val="24"/>
        <w:szCs w:val="24"/>
      </w:rPr>
      <w:t xml:space="preserve"> Matrix</w:t>
    </w:r>
  </w:p>
  <w:p w14:paraId="7BD331B7" w14:textId="77777777" w:rsidR="00645EF3" w:rsidRDefault="00645EF3">
    <w:pPr>
      <w:pStyle w:val="Header"/>
      <w:rPr>
        <w:rFonts w:ascii="Verdana" w:hAnsi="Verdana"/>
        <w:b/>
        <w:sz w:val="24"/>
        <w:szCs w:val="24"/>
      </w:rPr>
    </w:pPr>
  </w:p>
  <w:p w14:paraId="0BE8330E" w14:textId="34A367D5" w:rsidR="00570CFE" w:rsidRPr="00BD06A4" w:rsidRDefault="00570CFE">
    <w:pPr>
      <w:pStyle w:val="Header"/>
      <w:rPr>
        <w:rFonts w:ascii="Verdana" w:hAnsi="Verdana"/>
        <w:b/>
        <w:sz w:val="24"/>
        <w:szCs w:val="24"/>
      </w:rPr>
    </w:pPr>
    <w:r w:rsidRPr="00BD06A4">
      <w:rPr>
        <w:rFonts w:ascii="Verdana" w:hAnsi="Verdana"/>
        <w:b/>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1F90" w14:textId="2DBC56B6" w:rsidR="00DC7685" w:rsidRDefault="00DC7685">
    <w:pPr>
      <w:pStyle w:val="Header"/>
    </w:pPr>
    <w:r>
      <w:rPr>
        <w:noProof/>
      </w:rPr>
      <mc:AlternateContent>
        <mc:Choice Requires="wps">
          <w:drawing>
            <wp:anchor distT="0" distB="0" distL="0" distR="0" simplePos="0" relativeHeight="251659265" behindDoc="0" locked="0" layoutInCell="1" allowOverlap="1" wp14:anchorId="2D5741DC" wp14:editId="03F7DAE9">
              <wp:simplePos x="635" y="635"/>
              <wp:positionH relativeFrom="page">
                <wp:align>left</wp:align>
              </wp:positionH>
              <wp:positionV relativeFrom="page">
                <wp:align>top</wp:align>
              </wp:positionV>
              <wp:extent cx="2968625" cy="342900"/>
              <wp:effectExtent l="0" t="0" r="3175" b="0"/>
              <wp:wrapNone/>
              <wp:docPr id="2" name="Text Box 2" descr="Post Office Limited - Document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8625" cy="342900"/>
                      </a:xfrm>
                      <a:prstGeom prst="rect">
                        <a:avLst/>
                      </a:prstGeom>
                      <a:noFill/>
                      <a:ln>
                        <a:noFill/>
                      </a:ln>
                    </wps:spPr>
                    <wps:txbx>
                      <w:txbxContent>
                        <w:p w14:paraId="126EFD5A" w14:textId="46FA1B58" w:rsidR="00DC7685" w:rsidRPr="00DC7685" w:rsidRDefault="00DC7685" w:rsidP="00DC7685">
                          <w:pPr>
                            <w:spacing w:after="0"/>
                            <w:rPr>
                              <w:rFonts w:ascii="Calibri" w:eastAsia="Calibri" w:hAnsi="Calibri" w:cs="Calibri"/>
                              <w:noProof/>
                              <w:color w:val="737373"/>
                              <w:sz w:val="20"/>
                              <w:szCs w:val="20"/>
                            </w:rPr>
                          </w:pPr>
                          <w:r w:rsidRPr="00DC7685">
                            <w:rPr>
                              <w:rFonts w:ascii="Calibri" w:eastAsia="Calibri" w:hAnsi="Calibri" w:cs="Calibri"/>
                              <w:noProof/>
                              <w:color w:val="737373"/>
                              <w:sz w:val="20"/>
                              <w:szCs w:val="20"/>
                            </w:rPr>
                            <w:t>Post Office Limited - Document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5741DC" id="_x0000_t202" coordsize="21600,21600" o:spt="202" path="m,l,21600r21600,l21600,xe">
              <v:stroke joinstyle="miter"/>
              <v:path gradientshapeok="t" o:connecttype="rect"/>
            </v:shapetype>
            <v:shape id="Text Box 2" o:spid="_x0000_s1029" type="#_x0000_t202" alt="Post Office Limited - Document Classification: PUBLIC" style="position:absolute;margin-left:0;margin-top:0;width:233.75pt;height:27pt;z-index:251659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" filled="f" stroked="f">
              <v:textbox style="mso-fit-shape-to-text:t" inset="20pt,15pt,0,0">
                <w:txbxContent>
                  <w:p w14:paraId="126EFD5A" w14:textId="46FA1B58" w:rsidR="00DC7685" w:rsidRPr="00DC7685" w:rsidRDefault="00DC7685" w:rsidP="00DC7685">
                    <w:pPr>
                      <w:spacing w:after="0"/>
                      <w:rPr>
                        <w:rFonts w:ascii="Calibri" w:eastAsia="Calibri" w:hAnsi="Calibri" w:cs="Calibri"/>
                        <w:noProof/>
                        <w:color w:val="737373"/>
                        <w:sz w:val="20"/>
                        <w:szCs w:val="20"/>
                      </w:rPr>
                    </w:pPr>
                    <w:r w:rsidRPr="00DC7685">
                      <w:rPr>
                        <w:rFonts w:ascii="Calibri" w:eastAsia="Calibri" w:hAnsi="Calibri" w:cs="Calibri"/>
                        <w:noProof/>
                        <w:color w:val="737373"/>
                        <w:sz w:val="20"/>
                        <w:szCs w:val="20"/>
                      </w:rPr>
                      <w:t>Post Office Limited - Document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27"/>
    <w:multiLevelType w:val="hybridMultilevel"/>
    <w:tmpl w:val="E29C2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02F66"/>
    <w:multiLevelType w:val="hybridMultilevel"/>
    <w:tmpl w:val="332EFD10"/>
    <w:lvl w:ilvl="0" w:tplc="F3406B12">
      <w:start w:val="1"/>
      <w:numFmt w:val="upperLetter"/>
      <w:lvlText w:val="%1."/>
      <w:lvlJc w:val="left"/>
      <w:pPr>
        <w:ind w:left="1185" w:hanging="361"/>
      </w:pPr>
      <w:rPr>
        <w:rFonts w:ascii="Calibri" w:eastAsia="Calibri" w:hAnsi="Calibri" w:cs="Calibri" w:hint="default"/>
        <w:b/>
        <w:bCs/>
        <w:w w:val="100"/>
        <w:sz w:val="22"/>
        <w:szCs w:val="22"/>
        <w:lang w:val="en-GB" w:eastAsia="en-GB" w:bidi="en-GB"/>
      </w:rPr>
    </w:lvl>
    <w:lvl w:ilvl="1" w:tplc="2234704E">
      <w:numFmt w:val="bullet"/>
      <w:lvlText w:val=""/>
      <w:lvlJc w:val="left"/>
      <w:pPr>
        <w:ind w:left="1531" w:hanging="425"/>
      </w:pPr>
      <w:rPr>
        <w:rFonts w:hint="default"/>
        <w:w w:val="100"/>
        <w:lang w:val="en-GB" w:eastAsia="en-GB" w:bidi="en-GB"/>
      </w:rPr>
    </w:lvl>
    <w:lvl w:ilvl="2" w:tplc="EE5268A0">
      <w:numFmt w:val="bullet"/>
      <w:lvlText w:val="-"/>
      <w:lvlJc w:val="left"/>
      <w:pPr>
        <w:ind w:left="1674" w:hanging="284"/>
      </w:pPr>
      <w:rPr>
        <w:rFonts w:ascii="Calibri" w:eastAsia="Calibri" w:hAnsi="Calibri" w:cs="Calibri" w:hint="default"/>
        <w:w w:val="100"/>
        <w:sz w:val="22"/>
        <w:szCs w:val="22"/>
        <w:lang w:val="en-GB" w:eastAsia="en-GB" w:bidi="en-GB"/>
      </w:rPr>
    </w:lvl>
    <w:lvl w:ilvl="3" w:tplc="36688674">
      <w:numFmt w:val="bullet"/>
      <w:lvlText w:val="•"/>
      <w:lvlJc w:val="left"/>
      <w:pPr>
        <w:ind w:left="1680" w:hanging="284"/>
      </w:pPr>
      <w:rPr>
        <w:rFonts w:hint="default"/>
        <w:lang w:val="en-GB" w:eastAsia="en-GB" w:bidi="en-GB"/>
      </w:rPr>
    </w:lvl>
    <w:lvl w:ilvl="4" w:tplc="81923C20">
      <w:numFmt w:val="bullet"/>
      <w:lvlText w:val="•"/>
      <w:lvlJc w:val="left"/>
      <w:pPr>
        <w:ind w:left="2932" w:hanging="284"/>
      </w:pPr>
      <w:rPr>
        <w:rFonts w:hint="default"/>
        <w:lang w:val="en-GB" w:eastAsia="en-GB" w:bidi="en-GB"/>
      </w:rPr>
    </w:lvl>
    <w:lvl w:ilvl="5" w:tplc="F6C47912">
      <w:numFmt w:val="bullet"/>
      <w:lvlText w:val="•"/>
      <w:lvlJc w:val="left"/>
      <w:pPr>
        <w:ind w:left="4184" w:hanging="284"/>
      </w:pPr>
      <w:rPr>
        <w:rFonts w:hint="default"/>
        <w:lang w:val="en-GB" w:eastAsia="en-GB" w:bidi="en-GB"/>
      </w:rPr>
    </w:lvl>
    <w:lvl w:ilvl="6" w:tplc="4CE682B6">
      <w:numFmt w:val="bullet"/>
      <w:lvlText w:val="•"/>
      <w:lvlJc w:val="left"/>
      <w:pPr>
        <w:ind w:left="5437" w:hanging="284"/>
      </w:pPr>
      <w:rPr>
        <w:rFonts w:hint="default"/>
        <w:lang w:val="en-GB" w:eastAsia="en-GB" w:bidi="en-GB"/>
      </w:rPr>
    </w:lvl>
    <w:lvl w:ilvl="7" w:tplc="23EC8A36">
      <w:numFmt w:val="bullet"/>
      <w:lvlText w:val="•"/>
      <w:lvlJc w:val="left"/>
      <w:pPr>
        <w:ind w:left="6689" w:hanging="284"/>
      </w:pPr>
      <w:rPr>
        <w:rFonts w:hint="default"/>
        <w:lang w:val="en-GB" w:eastAsia="en-GB" w:bidi="en-GB"/>
      </w:rPr>
    </w:lvl>
    <w:lvl w:ilvl="8" w:tplc="E3A0FC1A">
      <w:numFmt w:val="bullet"/>
      <w:lvlText w:val="•"/>
      <w:lvlJc w:val="left"/>
      <w:pPr>
        <w:ind w:left="7941" w:hanging="284"/>
      </w:pPr>
      <w:rPr>
        <w:rFonts w:hint="default"/>
        <w:lang w:val="en-GB" w:eastAsia="en-GB" w:bidi="en-GB"/>
      </w:rPr>
    </w:lvl>
  </w:abstractNum>
  <w:abstractNum w:abstractNumId="2" w15:restartNumberingAfterBreak="0">
    <w:nsid w:val="07341759"/>
    <w:multiLevelType w:val="multilevel"/>
    <w:tmpl w:val="6EB0C954"/>
    <w:lvl w:ilvl="0">
      <w:start w:val="1"/>
      <w:numFmt w:val="decimal"/>
      <w:lvlText w:val="%1."/>
      <w:lvlJc w:val="left"/>
      <w:pPr>
        <w:ind w:left="360" w:hanging="360"/>
      </w:pPr>
      <w:rPr>
        <w:rFonts w:ascii="Verdana" w:hAnsi="Verdana" w:hint="default"/>
        <w:b/>
        <w:color w:val="auto"/>
        <w:sz w:val="20"/>
      </w:rPr>
    </w:lvl>
    <w:lvl w:ilvl="1">
      <w:start w:val="5"/>
      <w:numFmt w:val="none"/>
      <w:lvlText w:val="4.6"/>
      <w:lvlJc w:val="left"/>
      <w:pPr>
        <w:ind w:left="2628"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A686B17"/>
    <w:multiLevelType w:val="multilevel"/>
    <w:tmpl w:val="0A3030B4"/>
    <w:lvl w:ilvl="0">
      <w:start w:val="5"/>
      <w:numFmt w:val="decimal"/>
      <w:lvlText w:val="%1"/>
      <w:lvlJc w:val="left"/>
      <w:pPr>
        <w:ind w:left="360" w:hanging="360"/>
      </w:pPr>
      <w:rPr>
        <w:rFonts w:asciiTheme="minorHAnsi" w:hAnsiTheme="minorHAnsi" w:hint="default"/>
        <w:color w:val="auto"/>
        <w:sz w:val="22"/>
      </w:rPr>
    </w:lvl>
    <w:lvl w:ilvl="1">
      <w:start w:val="4"/>
      <w:numFmt w:val="decimal"/>
      <w:lvlText w:val="%1.%2"/>
      <w:lvlJc w:val="left"/>
      <w:pPr>
        <w:ind w:left="360" w:hanging="360"/>
      </w:pPr>
      <w:rPr>
        <w:rFonts w:ascii="Verdana" w:hAnsi="Verdana" w:hint="default"/>
        <w:color w:val="auto"/>
        <w:sz w:val="18"/>
      </w:rPr>
    </w:lvl>
    <w:lvl w:ilvl="2">
      <w:start w:val="1"/>
      <w:numFmt w:val="decimal"/>
      <w:lvlText w:val="%1.%2.%3"/>
      <w:lvlJc w:val="left"/>
      <w:pPr>
        <w:ind w:left="720" w:hanging="720"/>
      </w:pPr>
      <w:rPr>
        <w:rFonts w:asciiTheme="minorHAnsi" w:hAnsiTheme="minorHAnsi" w:hint="default"/>
        <w:color w:val="auto"/>
        <w:sz w:val="22"/>
      </w:rPr>
    </w:lvl>
    <w:lvl w:ilvl="3">
      <w:start w:val="1"/>
      <w:numFmt w:val="decimal"/>
      <w:lvlText w:val="%1.%2.%3.%4"/>
      <w:lvlJc w:val="left"/>
      <w:pPr>
        <w:ind w:left="1080" w:hanging="1080"/>
      </w:pPr>
      <w:rPr>
        <w:rFonts w:asciiTheme="minorHAnsi" w:hAnsiTheme="minorHAnsi" w:hint="default"/>
        <w:color w:val="auto"/>
        <w:sz w:val="22"/>
      </w:rPr>
    </w:lvl>
    <w:lvl w:ilvl="4">
      <w:start w:val="1"/>
      <w:numFmt w:val="decimal"/>
      <w:lvlText w:val="%1.%2.%3.%4.%5"/>
      <w:lvlJc w:val="left"/>
      <w:pPr>
        <w:ind w:left="1080" w:hanging="1080"/>
      </w:pPr>
      <w:rPr>
        <w:rFonts w:asciiTheme="minorHAnsi" w:hAnsiTheme="minorHAnsi" w:hint="default"/>
        <w:color w:val="auto"/>
        <w:sz w:val="22"/>
      </w:rPr>
    </w:lvl>
    <w:lvl w:ilvl="5">
      <w:start w:val="1"/>
      <w:numFmt w:val="decimal"/>
      <w:lvlText w:val="%1.%2.%3.%4.%5.%6"/>
      <w:lvlJc w:val="left"/>
      <w:pPr>
        <w:ind w:left="1440" w:hanging="1440"/>
      </w:pPr>
      <w:rPr>
        <w:rFonts w:asciiTheme="minorHAnsi" w:hAnsiTheme="minorHAnsi" w:hint="default"/>
        <w:color w:val="auto"/>
        <w:sz w:val="22"/>
      </w:rPr>
    </w:lvl>
    <w:lvl w:ilvl="6">
      <w:start w:val="1"/>
      <w:numFmt w:val="decimal"/>
      <w:lvlText w:val="%1.%2.%3.%4.%5.%6.%7"/>
      <w:lvlJc w:val="left"/>
      <w:pPr>
        <w:ind w:left="1440" w:hanging="1440"/>
      </w:pPr>
      <w:rPr>
        <w:rFonts w:asciiTheme="minorHAnsi" w:hAnsiTheme="minorHAnsi" w:hint="default"/>
        <w:color w:val="auto"/>
        <w:sz w:val="22"/>
      </w:rPr>
    </w:lvl>
    <w:lvl w:ilvl="7">
      <w:start w:val="1"/>
      <w:numFmt w:val="decimal"/>
      <w:lvlText w:val="%1.%2.%3.%4.%5.%6.%7.%8"/>
      <w:lvlJc w:val="left"/>
      <w:pPr>
        <w:ind w:left="1800" w:hanging="1800"/>
      </w:pPr>
      <w:rPr>
        <w:rFonts w:asciiTheme="minorHAnsi" w:hAnsiTheme="minorHAnsi" w:hint="default"/>
        <w:color w:val="auto"/>
        <w:sz w:val="22"/>
      </w:rPr>
    </w:lvl>
    <w:lvl w:ilvl="8">
      <w:start w:val="1"/>
      <w:numFmt w:val="decimal"/>
      <w:lvlText w:val="%1.%2.%3.%4.%5.%6.%7.%8.%9"/>
      <w:lvlJc w:val="left"/>
      <w:pPr>
        <w:ind w:left="2160" w:hanging="2160"/>
      </w:pPr>
      <w:rPr>
        <w:rFonts w:asciiTheme="minorHAnsi" w:hAnsiTheme="minorHAnsi" w:hint="default"/>
        <w:color w:val="auto"/>
        <w:sz w:val="22"/>
      </w:rPr>
    </w:lvl>
  </w:abstractNum>
  <w:abstractNum w:abstractNumId="4" w15:restartNumberingAfterBreak="0">
    <w:nsid w:val="0BDD566F"/>
    <w:multiLevelType w:val="multilevel"/>
    <w:tmpl w:val="2942433E"/>
    <w:lvl w:ilvl="0">
      <w:start w:val="2"/>
      <w:numFmt w:val="decimal"/>
      <w:lvlText w:val="%1"/>
      <w:lvlJc w:val="left"/>
      <w:pPr>
        <w:ind w:left="360" w:hanging="360"/>
      </w:pPr>
      <w:rPr>
        <w:rFonts w:ascii="Verdana" w:hAnsi="Verdana" w:hint="default"/>
        <w:color w:val="auto"/>
      </w:rPr>
    </w:lvl>
    <w:lvl w:ilvl="1">
      <w:start w:val="1"/>
      <w:numFmt w:val="decimal"/>
      <w:lvlText w:val="%1.%2"/>
      <w:lvlJc w:val="left"/>
      <w:pPr>
        <w:ind w:left="360" w:hanging="360"/>
      </w:pPr>
      <w:rPr>
        <w:rFonts w:ascii="Verdana" w:hAnsi="Verdana" w:hint="default"/>
        <w:color w:val="auto"/>
      </w:rPr>
    </w:lvl>
    <w:lvl w:ilvl="2">
      <w:start w:val="1"/>
      <w:numFmt w:val="decimal"/>
      <w:lvlText w:val="%1.%2.%3"/>
      <w:lvlJc w:val="left"/>
      <w:pPr>
        <w:ind w:left="720" w:hanging="720"/>
      </w:pPr>
      <w:rPr>
        <w:rFonts w:ascii="Verdana" w:hAnsi="Verdana" w:hint="default"/>
        <w:color w:val="FF0000"/>
      </w:rPr>
    </w:lvl>
    <w:lvl w:ilvl="3">
      <w:start w:val="1"/>
      <w:numFmt w:val="decimal"/>
      <w:lvlText w:val="%1.%2.%3.%4"/>
      <w:lvlJc w:val="left"/>
      <w:pPr>
        <w:ind w:left="720" w:hanging="720"/>
      </w:pPr>
      <w:rPr>
        <w:rFonts w:ascii="Verdana" w:hAnsi="Verdana" w:hint="default"/>
        <w:color w:val="FF0000"/>
      </w:rPr>
    </w:lvl>
    <w:lvl w:ilvl="4">
      <w:start w:val="1"/>
      <w:numFmt w:val="decimal"/>
      <w:lvlText w:val="%1.%2.%3.%4.%5"/>
      <w:lvlJc w:val="left"/>
      <w:pPr>
        <w:ind w:left="720" w:hanging="720"/>
      </w:pPr>
      <w:rPr>
        <w:rFonts w:ascii="Verdana" w:hAnsi="Verdana" w:hint="default"/>
        <w:color w:val="FF0000"/>
      </w:rPr>
    </w:lvl>
    <w:lvl w:ilvl="5">
      <w:start w:val="1"/>
      <w:numFmt w:val="decimal"/>
      <w:lvlText w:val="%1.%2.%3.%4.%5.%6"/>
      <w:lvlJc w:val="left"/>
      <w:pPr>
        <w:ind w:left="1080" w:hanging="1080"/>
      </w:pPr>
      <w:rPr>
        <w:rFonts w:ascii="Verdana" w:hAnsi="Verdana" w:hint="default"/>
        <w:color w:val="FF0000"/>
      </w:rPr>
    </w:lvl>
    <w:lvl w:ilvl="6">
      <w:start w:val="1"/>
      <w:numFmt w:val="decimal"/>
      <w:lvlText w:val="%1.%2.%3.%4.%5.%6.%7"/>
      <w:lvlJc w:val="left"/>
      <w:pPr>
        <w:ind w:left="1080" w:hanging="1080"/>
      </w:pPr>
      <w:rPr>
        <w:rFonts w:ascii="Verdana" w:hAnsi="Verdana" w:hint="default"/>
        <w:color w:val="FF0000"/>
      </w:rPr>
    </w:lvl>
    <w:lvl w:ilvl="7">
      <w:start w:val="1"/>
      <w:numFmt w:val="decimal"/>
      <w:lvlText w:val="%1.%2.%3.%4.%5.%6.%7.%8"/>
      <w:lvlJc w:val="left"/>
      <w:pPr>
        <w:ind w:left="1440" w:hanging="1440"/>
      </w:pPr>
      <w:rPr>
        <w:rFonts w:ascii="Verdana" w:hAnsi="Verdana" w:hint="default"/>
        <w:color w:val="FF0000"/>
      </w:rPr>
    </w:lvl>
    <w:lvl w:ilvl="8">
      <w:start w:val="1"/>
      <w:numFmt w:val="decimal"/>
      <w:lvlText w:val="%1.%2.%3.%4.%5.%6.%7.%8.%9"/>
      <w:lvlJc w:val="left"/>
      <w:pPr>
        <w:ind w:left="1440" w:hanging="1440"/>
      </w:pPr>
      <w:rPr>
        <w:rFonts w:ascii="Verdana" w:hAnsi="Verdana" w:hint="default"/>
        <w:color w:val="FF0000"/>
      </w:rPr>
    </w:lvl>
  </w:abstractNum>
  <w:abstractNum w:abstractNumId="5" w15:restartNumberingAfterBreak="0">
    <w:nsid w:val="0C0F4E1F"/>
    <w:multiLevelType w:val="hybridMultilevel"/>
    <w:tmpl w:val="7512C1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3A0148"/>
    <w:multiLevelType w:val="hybridMultilevel"/>
    <w:tmpl w:val="916A2D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F4254"/>
    <w:multiLevelType w:val="multilevel"/>
    <w:tmpl w:val="C3149074"/>
    <w:lvl w:ilvl="0">
      <w:start w:val="1"/>
      <w:numFmt w:val="upperLetter"/>
      <w:lvlText w:val="(%1)"/>
      <w:lvlJc w:val="left"/>
      <w:pPr>
        <w:tabs>
          <w:tab w:val="num" w:pos="680"/>
        </w:tabs>
        <w:ind w:left="680" w:hanging="68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25F0280"/>
    <w:multiLevelType w:val="multilevel"/>
    <w:tmpl w:val="3C389C2C"/>
    <w:lvl w:ilvl="0">
      <w:start w:val="5"/>
      <w:numFmt w:val="decimal"/>
      <w:lvlText w:val="%1"/>
      <w:lvlJc w:val="left"/>
      <w:pPr>
        <w:ind w:left="360" w:hanging="360"/>
      </w:pPr>
      <w:rPr>
        <w:rFonts w:ascii="Verdana" w:hAnsi="Verdana" w:hint="default"/>
        <w:sz w:val="18"/>
      </w:rPr>
    </w:lvl>
    <w:lvl w:ilvl="1">
      <w:start w:val="4"/>
      <w:numFmt w:val="decimal"/>
      <w:lvlText w:val="%1.%2"/>
      <w:lvlJc w:val="left"/>
      <w:pPr>
        <w:ind w:left="360" w:hanging="360"/>
      </w:pPr>
      <w:rPr>
        <w:rFonts w:ascii="Verdana" w:hAnsi="Verdana" w:hint="default"/>
        <w:sz w:val="18"/>
      </w:rPr>
    </w:lvl>
    <w:lvl w:ilvl="2">
      <w:start w:val="1"/>
      <w:numFmt w:val="decimal"/>
      <w:lvlText w:val="%1.%2.%3"/>
      <w:lvlJc w:val="left"/>
      <w:pPr>
        <w:ind w:left="720" w:hanging="720"/>
      </w:pPr>
      <w:rPr>
        <w:rFonts w:ascii="Verdana" w:hAnsi="Verdana" w:hint="default"/>
        <w:sz w:val="18"/>
      </w:rPr>
    </w:lvl>
    <w:lvl w:ilvl="3">
      <w:start w:val="1"/>
      <w:numFmt w:val="decimal"/>
      <w:lvlText w:val="%1.%2.%3.%4"/>
      <w:lvlJc w:val="left"/>
      <w:pPr>
        <w:ind w:left="720" w:hanging="720"/>
      </w:pPr>
      <w:rPr>
        <w:rFonts w:ascii="Verdana" w:hAnsi="Verdana" w:hint="default"/>
        <w:sz w:val="18"/>
      </w:rPr>
    </w:lvl>
    <w:lvl w:ilvl="4">
      <w:start w:val="1"/>
      <w:numFmt w:val="decimal"/>
      <w:lvlText w:val="%1.%2.%3.%4.%5"/>
      <w:lvlJc w:val="left"/>
      <w:pPr>
        <w:ind w:left="1080" w:hanging="1080"/>
      </w:pPr>
      <w:rPr>
        <w:rFonts w:ascii="Verdana" w:hAnsi="Verdana" w:hint="default"/>
        <w:sz w:val="18"/>
      </w:rPr>
    </w:lvl>
    <w:lvl w:ilvl="5">
      <w:start w:val="1"/>
      <w:numFmt w:val="decimal"/>
      <w:lvlText w:val="%1.%2.%3.%4.%5.%6"/>
      <w:lvlJc w:val="left"/>
      <w:pPr>
        <w:ind w:left="1080" w:hanging="1080"/>
      </w:pPr>
      <w:rPr>
        <w:rFonts w:ascii="Verdana" w:hAnsi="Verdana" w:hint="default"/>
        <w:sz w:val="18"/>
      </w:rPr>
    </w:lvl>
    <w:lvl w:ilvl="6">
      <w:start w:val="1"/>
      <w:numFmt w:val="decimal"/>
      <w:lvlText w:val="%1.%2.%3.%4.%5.%6.%7"/>
      <w:lvlJc w:val="left"/>
      <w:pPr>
        <w:ind w:left="1440" w:hanging="1440"/>
      </w:pPr>
      <w:rPr>
        <w:rFonts w:ascii="Verdana" w:hAnsi="Verdana" w:hint="default"/>
        <w:sz w:val="18"/>
      </w:rPr>
    </w:lvl>
    <w:lvl w:ilvl="7">
      <w:start w:val="1"/>
      <w:numFmt w:val="decimal"/>
      <w:lvlText w:val="%1.%2.%3.%4.%5.%6.%7.%8"/>
      <w:lvlJc w:val="left"/>
      <w:pPr>
        <w:ind w:left="1440" w:hanging="1440"/>
      </w:pPr>
      <w:rPr>
        <w:rFonts w:ascii="Verdana" w:hAnsi="Verdana" w:hint="default"/>
        <w:sz w:val="18"/>
      </w:rPr>
    </w:lvl>
    <w:lvl w:ilvl="8">
      <w:start w:val="1"/>
      <w:numFmt w:val="decimal"/>
      <w:lvlText w:val="%1.%2.%3.%4.%5.%6.%7.%8.%9"/>
      <w:lvlJc w:val="left"/>
      <w:pPr>
        <w:ind w:left="1800" w:hanging="1800"/>
      </w:pPr>
      <w:rPr>
        <w:rFonts w:ascii="Verdana" w:hAnsi="Verdana" w:hint="default"/>
        <w:sz w:val="18"/>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43E3C"/>
    <w:multiLevelType w:val="hybridMultilevel"/>
    <w:tmpl w:val="A9C464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47DBE"/>
    <w:multiLevelType w:val="multilevel"/>
    <w:tmpl w:val="4F0CE8DE"/>
    <w:lvl w:ilvl="0">
      <w:start w:val="5"/>
      <w:numFmt w:val="decimal"/>
      <w:lvlText w:val="%1"/>
      <w:lvlJc w:val="left"/>
      <w:pPr>
        <w:ind w:left="360" w:hanging="360"/>
      </w:pPr>
      <w:rPr>
        <w:rFonts w:asciiTheme="minorHAnsi" w:hAnsiTheme="minorHAnsi" w:hint="default"/>
        <w:color w:val="auto"/>
        <w:sz w:val="22"/>
      </w:rPr>
    </w:lvl>
    <w:lvl w:ilvl="1">
      <w:start w:val="6"/>
      <w:numFmt w:val="decimal"/>
      <w:lvlText w:val="%1.%2"/>
      <w:lvlJc w:val="left"/>
      <w:pPr>
        <w:ind w:left="360" w:hanging="360"/>
      </w:pPr>
      <w:rPr>
        <w:rFonts w:asciiTheme="minorHAnsi" w:hAnsiTheme="minorHAnsi" w:hint="default"/>
        <w:color w:val="auto"/>
        <w:sz w:val="22"/>
      </w:rPr>
    </w:lvl>
    <w:lvl w:ilvl="2">
      <w:start w:val="1"/>
      <w:numFmt w:val="decimal"/>
      <w:lvlText w:val="%1.%2.%3"/>
      <w:lvlJc w:val="left"/>
      <w:pPr>
        <w:ind w:left="720" w:hanging="720"/>
      </w:pPr>
      <w:rPr>
        <w:rFonts w:asciiTheme="minorHAnsi" w:hAnsiTheme="minorHAnsi" w:hint="default"/>
        <w:color w:val="auto"/>
        <w:sz w:val="22"/>
      </w:rPr>
    </w:lvl>
    <w:lvl w:ilvl="3">
      <w:start w:val="1"/>
      <w:numFmt w:val="decimal"/>
      <w:lvlText w:val="%1.%2.%3.%4"/>
      <w:lvlJc w:val="left"/>
      <w:pPr>
        <w:ind w:left="1080" w:hanging="1080"/>
      </w:pPr>
      <w:rPr>
        <w:rFonts w:asciiTheme="minorHAnsi" w:hAnsiTheme="minorHAnsi" w:hint="default"/>
        <w:color w:val="auto"/>
        <w:sz w:val="22"/>
      </w:rPr>
    </w:lvl>
    <w:lvl w:ilvl="4">
      <w:start w:val="1"/>
      <w:numFmt w:val="decimal"/>
      <w:lvlText w:val="%1.%2.%3.%4.%5"/>
      <w:lvlJc w:val="left"/>
      <w:pPr>
        <w:ind w:left="1080" w:hanging="1080"/>
      </w:pPr>
      <w:rPr>
        <w:rFonts w:asciiTheme="minorHAnsi" w:hAnsiTheme="minorHAnsi" w:hint="default"/>
        <w:color w:val="auto"/>
        <w:sz w:val="22"/>
      </w:rPr>
    </w:lvl>
    <w:lvl w:ilvl="5">
      <w:start w:val="1"/>
      <w:numFmt w:val="decimal"/>
      <w:lvlText w:val="%1.%2.%3.%4.%5.%6"/>
      <w:lvlJc w:val="left"/>
      <w:pPr>
        <w:ind w:left="1440" w:hanging="1440"/>
      </w:pPr>
      <w:rPr>
        <w:rFonts w:asciiTheme="minorHAnsi" w:hAnsiTheme="minorHAnsi" w:hint="default"/>
        <w:color w:val="auto"/>
        <w:sz w:val="22"/>
      </w:rPr>
    </w:lvl>
    <w:lvl w:ilvl="6">
      <w:start w:val="1"/>
      <w:numFmt w:val="decimal"/>
      <w:lvlText w:val="%1.%2.%3.%4.%5.%6.%7"/>
      <w:lvlJc w:val="left"/>
      <w:pPr>
        <w:ind w:left="1440" w:hanging="1440"/>
      </w:pPr>
      <w:rPr>
        <w:rFonts w:asciiTheme="minorHAnsi" w:hAnsiTheme="minorHAnsi" w:hint="default"/>
        <w:color w:val="auto"/>
        <w:sz w:val="22"/>
      </w:rPr>
    </w:lvl>
    <w:lvl w:ilvl="7">
      <w:start w:val="1"/>
      <w:numFmt w:val="decimal"/>
      <w:lvlText w:val="%1.%2.%3.%4.%5.%6.%7.%8"/>
      <w:lvlJc w:val="left"/>
      <w:pPr>
        <w:ind w:left="1800" w:hanging="1800"/>
      </w:pPr>
      <w:rPr>
        <w:rFonts w:asciiTheme="minorHAnsi" w:hAnsiTheme="minorHAnsi" w:hint="default"/>
        <w:color w:val="auto"/>
        <w:sz w:val="22"/>
      </w:rPr>
    </w:lvl>
    <w:lvl w:ilvl="8">
      <w:start w:val="1"/>
      <w:numFmt w:val="decimal"/>
      <w:lvlText w:val="%1.%2.%3.%4.%5.%6.%7.%8.%9"/>
      <w:lvlJc w:val="left"/>
      <w:pPr>
        <w:ind w:left="2160" w:hanging="2160"/>
      </w:pPr>
      <w:rPr>
        <w:rFonts w:asciiTheme="minorHAnsi" w:hAnsiTheme="minorHAnsi" w:hint="default"/>
        <w:color w:val="auto"/>
        <w:sz w:val="22"/>
      </w:rPr>
    </w:lvl>
  </w:abstractNum>
  <w:abstractNum w:abstractNumId="12" w15:restartNumberingAfterBreak="0">
    <w:nsid w:val="2D6F2DB7"/>
    <w:multiLevelType w:val="hybridMultilevel"/>
    <w:tmpl w:val="E3F607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1219C0"/>
    <w:multiLevelType w:val="multilevel"/>
    <w:tmpl w:val="1D4A1CD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942FDA"/>
    <w:multiLevelType w:val="multilevel"/>
    <w:tmpl w:val="10CCBA84"/>
    <w:lvl w:ilvl="0">
      <w:start w:val="5"/>
      <w:numFmt w:val="decimal"/>
      <w:lvlText w:val="%1"/>
      <w:lvlJc w:val="left"/>
      <w:pPr>
        <w:ind w:left="360" w:hanging="360"/>
      </w:pPr>
      <w:rPr>
        <w:rFonts w:asciiTheme="minorHAnsi" w:hAnsiTheme="minorHAnsi" w:hint="default"/>
        <w:color w:val="auto"/>
        <w:sz w:val="22"/>
      </w:rPr>
    </w:lvl>
    <w:lvl w:ilvl="1">
      <w:start w:val="5"/>
      <w:numFmt w:val="decimal"/>
      <w:lvlText w:val="%1.%2"/>
      <w:lvlJc w:val="left"/>
      <w:pPr>
        <w:ind w:left="360" w:hanging="360"/>
      </w:pPr>
      <w:rPr>
        <w:rFonts w:asciiTheme="minorHAnsi" w:hAnsiTheme="minorHAnsi" w:hint="default"/>
        <w:color w:val="auto"/>
        <w:sz w:val="22"/>
      </w:rPr>
    </w:lvl>
    <w:lvl w:ilvl="2">
      <w:start w:val="1"/>
      <w:numFmt w:val="decimal"/>
      <w:lvlText w:val="%1.%2.%3"/>
      <w:lvlJc w:val="left"/>
      <w:pPr>
        <w:ind w:left="720" w:hanging="720"/>
      </w:pPr>
      <w:rPr>
        <w:rFonts w:asciiTheme="minorHAnsi" w:hAnsiTheme="minorHAnsi" w:hint="default"/>
        <w:color w:val="auto"/>
        <w:sz w:val="22"/>
      </w:rPr>
    </w:lvl>
    <w:lvl w:ilvl="3">
      <w:start w:val="1"/>
      <w:numFmt w:val="decimal"/>
      <w:lvlText w:val="%1.%2.%3.%4"/>
      <w:lvlJc w:val="left"/>
      <w:pPr>
        <w:ind w:left="1080" w:hanging="1080"/>
      </w:pPr>
      <w:rPr>
        <w:rFonts w:asciiTheme="minorHAnsi" w:hAnsiTheme="minorHAnsi" w:hint="default"/>
        <w:color w:val="auto"/>
        <w:sz w:val="22"/>
      </w:rPr>
    </w:lvl>
    <w:lvl w:ilvl="4">
      <w:start w:val="1"/>
      <w:numFmt w:val="decimal"/>
      <w:lvlText w:val="%1.%2.%3.%4.%5"/>
      <w:lvlJc w:val="left"/>
      <w:pPr>
        <w:ind w:left="1080" w:hanging="1080"/>
      </w:pPr>
      <w:rPr>
        <w:rFonts w:asciiTheme="minorHAnsi" w:hAnsiTheme="minorHAnsi" w:hint="default"/>
        <w:color w:val="auto"/>
        <w:sz w:val="22"/>
      </w:rPr>
    </w:lvl>
    <w:lvl w:ilvl="5">
      <w:start w:val="1"/>
      <w:numFmt w:val="decimal"/>
      <w:lvlText w:val="%1.%2.%3.%4.%5.%6"/>
      <w:lvlJc w:val="left"/>
      <w:pPr>
        <w:ind w:left="1440" w:hanging="1440"/>
      </w:pPr>
      <w:rPr>
        <w:rFonts w:asciiTheme="minorHAnsi" w:hAnsiTheme="minorHAnsi" w:hint="default"/>
        <w:color w:val="auto"/>
        <w:sz w:val="22"/>
      </w:rPr>
    </w:lvl>
    <w:lvl w:ilvl="6">
      <w:start w:val="1"/>
      <w:numFmt w:val="decimal"/>
      <w:lvlText w:val="%1.%2.%3.%4.%5.%6.%7"/>
      <w:lvlJc w:val="left"/>
      <w:pPr>
        <w:ind w:left="1440" w:hanging="1440"/>
      </w:pPr>
      <w:rPr>
        <w:rFonts w:asciiTheme="minorHAnsi" w:hAnsiTheme="minorHAnsi" w:hint="default"/>
        <w:color w:val="auto"/>
        <w:sz w:val="22"/>
      </w:rPr>
    </w:lvl>
    <w:lvl w:ilvl="7">
      <w:start w:val="1"/>
      <w:numFmt w:val="decimal"/>
      <w:lvlText w:val="%1.%2.%3.%4.%5.%6.%7.%8"/>
      <w:lvlJc w:val="left"/>
      <w:pPr>
        <w:ind w:left="1800" w:hanging="1800"/>
      </w:pPr>
      <w:rPr>
        <w:rFonts w:asciiTheme="minorHAnsi" w:hAnsiTheme="minorHAnsi" w:hint="default"/>
        <w:color w:val="auto"/>
        <w:sz w:val="22"/>
      </w:rPr>
    </w:lvl>
    <w:lvl w:ilvl="8">
      <w:start w:val="1"/>
      <w:numFmt w:val="decimal"/>
      <w:lvlText w:val="%1.%2.%3.%4.%5.%6.%7.%8.%9"/>
      <w:lvlJc w:val="left"/>
      <w:pPr>
        <w:ind w:left="2160" w:hanging="2160"/>
      </w:pPr>
      <w:rPr>
        <w:rFonts w:asciiTheme="minorHAnsi" w:hAnsiTheme="minorHAnsi" w:hint="default"/>
        <w:color w:val="auto"/>
        <w:sz w:val="22"/>
      </w:rPr>
    </w:lvl>
  </w:abstractNum>
  <w:abstractNum w:abstractNumId="15" w15:restartNumberingAfterBreak="0">
    <w:nsid w:val="3155375C"/>
    <w:multiLevelType w:val="multilevel"/>
    <w:tmpl w:val="E2324702"/>
    <w:lvl w:ilvl="0">
      <w:start w:val="1"/>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2160" w:hanging="2160"/>
      </w:pPr>
      <w:rPr>
        <w:rFonts w:asciiTheme="minorHAnsi" w:eastAsiaTheme="minorHAnsi" w:hAnsiTheme="minorHAnsi" w:cstheme="minorBidi" w:hint="default"/>
        <w:sz w:val="22"/>
      </w:rPr>
    </w:lvl>
  </w:abstractNum>
  <w:abstractNum w:abstractNumId="16" w15:restartNumberingAfterBreak="0">
    <w:nsid w:val="33255645"/>
    <w:multiLevelType w:val="multilevel"/>
    <w:tmpl w:val="58FC3A80"/>
    <w:lvl w:ilvl="0">
      <w:start w:val="3"/>
      <w:numFmt w:val="decimal"/>
      <w:lvlText w:val="%1."/>
      <w:lvlJc w:val="left"/>
      <w:pPr>
        <w:ind w:left="1495" w:hanging="360"/>
      </w:pPr>
      <w:rPr>
        <w:rFonts w:ascii="Verdana" w:hAnsi="Verdana" w:hint="default"/>
        <w:b w:val="0"/>
        <w:sz w:val="22"/>
        <w:szCs w:val="22"/>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7" w15:restartNumberingAfterBreak="0">
    <w:nsid w:val="3B270AC0"/>
    <w:multiLevelType w:val="multilevel"/>
    <w:tmpl w:val="1CDA2CF0"/>
    <w:lvl w:ilvl="0">
      <w:start w:val="5"/>
      <w:numFmt w:val="decimal"/>
      <w:lvlText w:val="%1."/>
      <w:lvlJc w:val="left"/>
      <w:pPr>
        <w:ind w:left="360" w:hanging="360"/>
      </w:pPr>
      <w:rPr>
        <w:rFonts w:asciiTheme="minorHAnsi" w:hAnsiTheme="minorHAnsi" w:hint="default"/>
        <w:color w:val="auto"/>
        <w:sz w:val="22"/>
      </w:rPr>
    </w:lvl>
    <w:lvl w:ilvl="1">
      <w:start w:val="5"/>
      <w:numFmt w:val="decimal"/>
      <w:lvlText w:val="%1.%2."/>
      <w:lvlJc w:val="left"/>
      <w:pPr>
        <w:ind w:left="720" w:hanging="720"/>
      </w:pPr>
      <w:rPr>
        <w:rFonts w:asciiTheme="minorHAnsi" w:hAnsiTheme="minorHAnsi" w:hint="default"/>
        <w:color w:val="auto"/>
        <w:sz w:val="22"/>
      </w:rPr>
    </w:lvl>
    <w:lvl w:ilvl="2">
      <w:start w:val="1"/>
      <w:numFmt w:val="decimal"/>
      <w:lvlText w:val="%1.%2.%3."/>
      <w:lvlJc w:val="left"/>
      <w:pPr>
        <w:ind w:left="720" w:hanging="720"/>
      </w:pPr>
      <w:rPr>
        <w:rFonts w:asciiTheme="minorHAnsi" w:hAnsiTheme="minorHAnsi" w:hint="default"/>
        <w:color w:val="auto"/>
        <w:sz w:val="22"/>
      </w:rPr>
    </w:lvl>
    <w:lvl w:ilvl="3">
      <w:start w:val="1"/>
      <w:numFmt w:val="decimal"/>
      <w:lvlText w:val="%1.%2.%3.%4."/>
      <w:lvlJc w:val="left"/>
      <w:pPr>
        <w:ind w:left="1080" w:hanging="1080"/>
      </w:pPr>
      <w:rPr>
        <w:rFonts w:asciiTheme="minorHAnsi" w:hAnsiTheme="minorHAnsi" w:hint="default"/>
        <w:color w:val="auto"/>
        <w:sz w:val="22"/>
      </w:rPr>
    </w:lvl>
    <w:lvl w:ilvl="4">
      <w:start w:val="1"/>
      <w:numFmt w:val="decimal"/>
      <w:lvlText w:val="%1.%2.%3.%4.%5."/>
      <w:lvlJc w:val="left"/>
      <w:pPr>
        <w:ind w:left="1080" w:hanging="1080"/>
      </w:pPr>
      <w:rPr>
        <w:rFonts w:asciiTheme="minorHAnsi" w:hAnsiTheme="minorHAnsi" w:hint="default"/>
        <w:color w:val="auto"/>
        <w:sz w:val="22"/>
      </w:rPr>
    </w:lvl>
    <w:lvl w:ilvl="5">
      <w:start w:val="1"/>
      <w:numFmt w:val="decimal"/>
      <w:lvlText w:val="%1.%2.%3.%4.%5.%6."/>
      <w:lvlJc w:val="left"/>
      <w:pPr>
        <w:ind w:left="1440" w:hanging="1440"/>
      </w:pPr>
      <w:rPr>
        <w:rFonts w:asciiTheme="minorHAnsi" w:hAnsiTheme="minorHAnsi" w:hint="default"/>
        <w:color w:val="auto"/>
        <w:sz w:val="22"/>
      </w:rPr>
    </w:lvl>
    <w:lvl w:ilvl="6">
      <w:start w:val="1"/>
      <w:numFmt w:val="decimal"/>
      <w:lvlText w:val="%1.%2.%3.%4.%5.%6.%7."/>
      <w:lvlJc w:val="left"/>
      <w:pPr>
        <w:ind w:left="1800" w:hanging="1800"/>
      </w:pPr>
      <w:rPr>
        <w:rFonts w:asciiTheme="minorHAnsi" w:hAnsiTheme="minorHAnsi" w:hint="default"/>
        <w:color w:val="auto"/>
        <w:sz w:val="22"/>
      </w:rPr>
    </w:lvl>
    <w:lvl w:ilvl="7">
      <w:start w:val="1"/>
      <w:numFmt w:val="decimal"/>
      <w:lvlText w:val="%1.%2.%3.%4.%5.%6.%7.%8."/>
      <w:lvlJc w:val="left"/>
      <w:pPr>
        <w:ind w:left="1800" w:hanging="1800"/>
      </w:pPr>
      <w:rPr>
        <w:rFonts w:asciiTheme="minorHAnsi" w:hAnsiTheme="minorHAnsi" w:hint="default"/>
        <w:color w:val="auto"/>
        <w:sz w:val="22"/>
      </w:rPr>
    </w:lvl>
    <w:lvl w:ilvl="8">
      <w:start w:val="1"/>
      <w:numFmt w:val="decimal"/>
      <w:lvlText w:val="%1.%2.%3.%4.%5.%6.%7.%8.%9."/>
      <w:lvlJc w:val="left"/>
      <w:pPr>
        <w:ind w:left="2160" w:hanging="2160"/>
      </w:pPr>
      <w:rPr>
        <w:rFonts w:asciiTheme="minorHAnsi" w:hAnsiTheme="minorHAnsi" w:hint="default"/>
        <w:color w:val="auto"/>
        <w:sz w:val="22"/>
      </w:rPr>
    </w:lvl>
  </w:abstractNum>
  <w:abstractNum w:abstractNumId="18" w15:restartNumberingAfterBreak="0">
    <w:nsid w:val="3E5176CD"/>
    <w:multiLevelType w:val="multilevel"/>
    <w:tmpl w:val="9B9C5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B73B1F"/>
    <w:multiLevelType w:val="hybridMultilevel"/>
    <w:tmpl w:val="7720A434"/>
    <w:lvl w:ilvl="0" w:tplc="655037FE">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C59C7"/>
    <w:multiLevelType w:val="hybridMultilevel"/>
    <w:tmpl w:val="9E3E5C5A"/>
    <w:lvl w:ilvl="0" w:tplc="CFF0A92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ED803D8"/>
    <w:multiLevelType w:val="hybridMultilevel"/>
    <w:tmpl w:val="66622256"/>
    <w:lvl w:ilvl="0" w:tplc="13002A18">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C28A6"/>
    <w:multiLevelType w:val="hybridMultilevel"/>
    <w:tmpl w:val="67BCF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CB558A"/>
    <w:multiLevelType w:val="hybridMultilevel"/>
    <w:tmpl w:val="D0E8DA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B4379"/>
    <w:multiLevelType w:val="multilevel"/>
    <w:tmpl w:val="92F40BB8"/>
    <w:lvl w:ilvl="0">
      <w:start w:val="1"/>
      <w:numFmt w:val="upperLetter"/>
      <w:pStyle w:val="Recitals"/>
      <w:lvlText w:val="(%1)"/>
      <w:lvlJc w:val="left"/>
      <w:pPr>
        <w:tabs>
          <w:tab w:val="num" w:pos="680"/>
        </w:tabs>
        <w:ind w:left="680" w:hanging="68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12351D2"/>
    <w:multiLevelType w:val="hybridMultilevel"/>
    <w:tmpl w:val="2C2E4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87331D"/>
    <w:multiLevelType w:val="hybridMultilevel"/>
    <w:tmpl w:val="2696C0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DF6D31"/>
    <w:multiLevelType w:val="multilevel"/>
    <w:tmpl w:val="87B6BF80"/>
    <w:lvl w:ilvl="0">
      <w:start w:val="1"/>
      <w:numFmt w:val="decimal"/>
      <w:lvlText w:val="%1"/>
      <w:lvlJc w:val="left"/>
      <w:pPr>
        <w:ind w:left="390" w:hanging="390"/>
      </w:pPr>
      <w:rPr>
        <w:rFonts w:hint="default"/>
        <w:color w:val="auto"/>
      </w:rPr>
    </w:lvl>
    <w:lvl w:ilvl="1">
      <w:start w:val="1"/>
      <w:numFmt w:val="decimal"/>
      <w:lvlText w:val="%1.%2"/>
      <w:lvlJc w:val="left"/>
      <w:pPr>
        <w:ind w:left="5636"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15:restartNumberingAfterBreak="0">
    <w:nsid w:val="67363DA7"/>
    <w:multiLevelType w:val="multilevel"/>
    <w:tmpl w:val="3642148A"/>
    <w:lvl w:ilvl="0">
      <w:start w:val="4"/>
      <w:numFmt w:val="decimal"/>
      <w:lvlText w:val="%1"/>
      <w:lvlJc w:val="left"/>
      <w:pPr>
        <w:ind w:left="360" w:hanging="360"/>
      </w:pPr>
      <w:rPr>
        <w:rFonts w:ascii="Verdana" w:hAnsi="Verdana" w:hint="default"/>
        <w:sz w:val="18"/>
      </w:rPr>
    </w:lvl>
    <w:lvl w:ilvl="1">
      <w:start w:val="50"/>
      <w:numFmt w:val="decimal"/>
      <w:lvlText w:val="%1.%2"/>
      <w:lvlJc w:val="left"/>
      <w:pPr>
        <w:ind w:left="360" w:hanging="360"/>
      </w:pPr>
      <w:rPr>
        <w:rFonts w:ascii="Verdana" w:hAnsi="Verdana" w:hint="default"/>
        <w:sz w:val="18"/>
      </w:rPr>
    </w:lvl>
    <w:lvl w:ilvl="2">
      <w:start w:val="1"/>
      <w:numFmt w:val="decimal"/>
      <w:lvlText w:val="%1.%2.%3"/>
      <w:lvlJc w:val="left"/>
      <w:pPr>
        <w:ind w:left="720" w:hanging="720"/>
      </w:pPr>
      <w:rPr>
        <w:rFonts w:ascii="Verdana" w:hAnsi="Verdana" w:hint="default"/>
        <w:sz w:val="18"/>
      </w:rPr>
    </w:lvl>
    <w:lvl w:ilvl="3">
      <w:start w:val="1"/>
      <w:numFmt w:val="decimal"/>
      <w:lvlText w:val="%1.%2.%3.%4"/>
      <w:lvlJc w:val="left"/>
      <w:pPr>
        <w:ind w:left="720" w:hanging="720"/>
      </w:pPr>
      <w:rPr>
        <w:rFonts w:ascii="Verdana" w:hAnsi="Verdana" w:hint="default"/>
        <w:sz w:val="18"/>
      </w:rPr>
    </w:lvl>
    <w:lvl w:ilvl="4">
      <w:start w:val="1"/>
      <w:numFmt w:val="decimal"/>
      <w:lvlText w:val="%1.%2.%3.%4.%5"/>
      <w:lvlJc w:val="left"/>
      <w:pPr>
        <w:ind w:left="1080" w:hanging="1080"/>
      </w:pPr>
      <w:rPr>
        <w:rFonts w:ascii="Verdana" w:hAnsi="Verdana" w:hint="default"/>
        <w:sz w:val="18"/>
      </w:rPr>
    </w:lvl>
    <w:lvl w:ilvl="5">
      <w:start w:val="1"/>
      <w:numFmt w:val="decimal"/>
      <w:lvlText w:val="%1.%2.%3.%4.%5.%6"/>
      <w:lvlJc w:val="left"/>
      <w:pPr>
        <w:ind w:left="1080" w:hanging="1080"/>
      </w:pPr>
      <w:rPr>
        <w:rFonts w:ascii="Verdana" w:hAnsi="Verdana" w:hint="default"/>
        <w:sz w:val="18"/>
      </w:rPr>
    </w:lvl>
    <w:lvl w:ilvl="6">
      <w:start w:val="1"/>
      <w:numFmt w:val="decimal"/>
      <w:lvlText w:val="%1.%2.%3.%4.%5.%6.%7"/>
      <w:lvlJc w:val="left"/>
      <w:pPr>
        <w:ind w:left="1440" w:hanging="1440"/>
      </w:pPr>
      <w:rPr>
        <w:rFonts w:ascii="Verdana" w:hAnsi="Verdana" w:hint="default"/>
        <w:sz w:val="18"/>
      </w:rPr>
    </w:lvl>
    <w:lvl w:ilvl="7">
      <w:start w:val="1"/>
      <w:numFmt w:val="decimal"/>
      <w:lvlText w:val="%1.%2.%3.%4.%5.%6.%7.%8"/>
      <w:lvlJc w:val="left"/>
      <w:pPr>
        <w:ind w:left="1440" w:hanging="1440"/>
      </w:pPr>
      <w:rPr>
        <w:rFonts w:ascii="Verdana" w:hAnsi="Verdana" w:hint="default"/>
        <w:sz w:val="18"/>
      </w:rPr>
    </w:lvl>
    <w:lvl w:ilvl="8">
      <w:start w:val="1"/>
      <w:numFmt w:val="decimal"/>
      <w:lvlText w:val="%1.%2.%3.%4.%5.%6.%7.%8.%9"/>
      <w:lvlJc w:val="left"/>
      <w:pPr>
        <w:ind w:left="1800" w:hanging="1800"/>
      </w:pPr>
      <w:rPr>
        <w:rFonts w:ascii="Verdana" w:hAnsi="Verdana" w:hint="default"/>
        <w:sz w:val="18"/>
      </w:rPr>
    </w:lvl>
  </w:abstractNum>
  <w:abstractNum w:abstractNumId="30" w15:restartNumberingAfterBreak="0">
    <w:nsid w:val="6B1D1232"/>
    <w:multiLevelType w:val="multilevel"/>
    <w:tmpl w:val="EC5E8D7E"/>
    <w:lvl w:ilvl="0">
      <w:start w:val="1"/>
      <w:numFmt w:val="decimal"/>
      <w:pStyle w:val="Level1"/>
      <w:lvlText w:val="%1"/>
      <w:lvlJc w:val="left"/>
      <w:pPr>
        <w:tabs>
          <w:tab w:val="num" w:pos="680"/>
        </w:tabs>
        <w:ind w:left="680" w:hanging="680"/>
      </w:pPr>
      <w:rPr>
        <w:rFonts w:hint="default"/>
        <w:b/>
        <w:i w:val="0"/>
        <w:sz w:val="20"/>
        <w:szCs w:val="20"/>
      </w:rPr>
    </w:lvl>
    <w:lvl w:ilvl="1">
      <w:start w:val="1"/>
      <w:numFmt w:val="decimal"/>
      <w:pStyle w:val="Level2"/>
      <w:lvlText w:val="%1.%2"/>
      <w:lvlJc w:val="left"/>
      <w:pPr>
        <w:tabs>
          <w:tab w:val="num" w:pos="680"/>
        </w:tabs>
        <w:ind w:left="680" w:hanging="680"/>
      </w:pPr>
      <w:rPr>
        <w:rFonts w:hint="default"/>
        <w:b w:val="0"/>
        <w:i w:val="0"/>
        <w:sz w:val="20"/>
        <w:szCs w:val="20"/>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6C5D6FF5"/>
    <w:multiLevelType w:val="multilevel"/>
    <w:tmpl w:val="469432C8"/>
    <w:lvl w:ilvl="0">
      <w:start w:val="1"/>
      <w:numFmt w:val="decimal"/>
      <w:lvlText w:val="%1."/>
      <w:lvlJc w:val="left"/>
      <w:pPr>
        <w:ind w:left="360" w:hanging="360"/>
      </w:pPr>
      <w:rPr>
        <w:b/>
        <w:bCs/>
        <w:sz w:val="18"/>
        <w:szCs w:val="18"/>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EB28B6"/>
    <w:multiLevelType w:val="hybridMultilevel"/>
    <w:tmpl w:val="E78A19C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E4EC5"/>
    <w:multiLevelType w:val="hybridMultilevel"/>
    <w:tmpl w:val="3948E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576D42"/>
    <w:multiLevelType w:val="hybridMultilevel"/>
    <w:tmpl w:val="712AD5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5A5B88"/>
    <w:multiLevelType w:val="singleLevel"/>
    <w:tmpl w:val="59A2EE56"/>
    <w:lvl w:ilvl="0">
      <w:start w:val="1"/>
      <w:numFmt w:val="lowerRoman"/>
      <w:pStyle w:val="roman2"/>
      <w:lvlText w:val="(%1)"/>
      <w:lvlJc w:val="left"/>
      <w:pPr>
        <w:tabs>
          <w:tab w:val="num" w:pos="1361"/>
        </w:tabs>
        <w:ind w:left="1361" w:hanging="681"/>
      </w:pPr>
      <w:rPr>
        <w:rFonts w:ascii="Arial" w:hAnsi="Arial" w:hint="default"/>
        <w:b w:val="0"/>
        <w:i w:val="0"/>
        <w:color w:val="FF0000"/>
        <w:sz w:val="20"/>
      </w:rPr>
    </w:lvl>
  </w:abstractNum>
  <w:abstractNum w:abstractNumId="36" w15:restartNumberingAfterBreak="0">
    <w:nsid w:val="78A521A2"/>
    <w:multiLevelType w:val="multilevel"/>
    <w:tmpl w:val="56AC731A"/>
    <w:lvl w:ilvl="0">
      <w:start w:val="5"/>
      <w:numFmt w:val="decimal"/>
      <w:lvlText w:val="%1."/>
      <w:lvlJc w:val="left"/>
      <w:pPr>
        <w:ind w:left="375" w:hanging="375"/>
      </w:pPr>
      <w:rPr>
        <w:rFonts w:cs="Arial" w:hint="default"/>
        <w:b w:val="0"/>
        <w:color w:val="000000"/>
      </w:rPr>
    </w:lvl>
    <w:lvl w:ilvl="1">
      <w:start w:val="1"/>
      <w:numFmt w:val="lowerRoman"/>
      <w:lvlText w:val="(%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AD632F3"/>
    <w:multiLevelType w:val="hybridMultilevel"/>
    <w:tmpl w:val="B0A2CF1C"/>
    <w:lvl w:ilvl="0" w:tplc="F66646E0">
      <w:start w:val="1"/>
      <w:numFmt w:val="decimal"/>
      <w:lvlText w:val="%1."/>
      <w:lvlJc w:val="left"/>
      <w:pPr>
        <w:ind w:left="360" w:hanging="360"/>
      </w:pPr>
      <w:rPr>
        <w:b/>
        <w:bCs/>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660653"/>
    <w:multiLevelType w:val="multilevel"/>
    <w:tmpl w:val="77067DF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963A0D"/>
    <w:multiLevelType w:val="hybridMultilevel"/>
    <w:tmpl w:val="9AB0E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530331">
    <w:abstractNumId w:val="2"/>
  </w:num>
  <w:num w:numId="2" w16cid:durableId="616448879">
    <w:abstractNumId w:val="27"/>
  </w:num>
  <w:num w:numId="3" w16cid:durableId="928002267">
    <w:abstractNumId w:val="34"/>
  </w:num>
  <w:num w:numId="4" w16cid:durableId="551190315">
    <w:abstractNumId w:val="24"/>
  </w:num>
  <w:num w:numId="5" w16cid:durableId="1105418514">
    <w:abstractNumId w:val="6"/>
  </w:num>
  <w:num w:numId="6" w16cid:durableId="1213620228">
    <w:abstractNumId w:val="39"/>
  </w:num>
  <w:num w:numId="7" w16cid:durableId="1891379309">
    <w:abstractNumId w:val="26"/>
  </w:num>
  <w:num w:numId="8" w16cid:durableId="595482689">
    <w:abstractNumId w:val="32"/>
  </w:num>
  <w:num w:numId="9" w16cid:durableId="205216868">
    <w:abstractNumId w:val="10"/>
  </w:num>
  <w:num w:numId="10" w16cid:durableId="334067952">
    <w:abstractNumId w:val="25"/>
  </w:num>
  <w:num w:numId="11" w16cid:durableId="933631489">
    <w:abstractNumId w:val="4"/>
  </w:num>
  <w:num w:numId="12" w16cid:durableId="474181626">
    <w:abstractNumId w:val="14"/>
  </w:num>
  <w:num w:numId="13" w16cid:durableId="560754440">
    <w:abstractNumId w:val="9"/>
  </w:num>
  <w:num w:numId="14" w16cid:durableId="2012831845">
    <w:abstractNumId w:val="35"/>
  </w:num>
  <w:num w:numId="15" w16cid:durableId="1927032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554920">
    <w:abstractNumId w:val="35"/>
    <w:lvlOverride w:ilvl="0">
      <w:startOverride w:val="1"/>
    </w:lvlOverride>
  </w:num>
  <w:num w:numId="17" w16cid:durableId="936668723">
    <w:abstractNumId w:val="11"/>
  </w:num>
  <w:num w:numId="18" w16cid:durableId="865559185">
    <w:abstractNumId w:val="22"/>
  </w:num>
  <w:num w:numId="19" w16cid:durableId="808523397">
    <w:abstractNumId w:val="30"/>
  </w:num>
  <w:num w:numId="20" w16cid:durableId="1362628695">
    <w:abstractNumId w:val="7"/>
  </w:num>
  <w:num w:numId="21" w16cid:durableId="1055742791">
    <w:abstractNumId w:val="21"/>
  </w:num>
  <w:num w:numId="22" w16cid:durableId="1480922256">
    <w:abstractNumId w:val="29"/>
  </w:num>
  <w:num w:numId="23" w16cid:durableId="1470131137">
    <w:abstractNumId w:val="8"/>
  </w:num>
  <w:num w:numId="24" w16cid:durableId="1709722229">
    <w:abstractNumId w:val="28"/>
  </w:num>
  <w:num w:numId="25" w16cid:durableId="1197893007">
    <w:abstractNumId w:val="1"/>
  </w:num>
  <w:num w:numId="26" w16cid:durableId="57175714">
    <w:abstractNumId w:val="23"/>
  </w:num>
  <w:num w:numId="27" w16cid:durableId="1769428623">
    <w:abstractNumId w:val="19"/>
  </w:num>
  <w:num w:numId="28" w16cid:durableId="828910933">
    <w:abstractNumId w:val="18"/>
  </w:num>
  <w:num w:numId="29" w16cid:durableId="416370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7903599">
    <w:abstractNumId w:val="17"/>
  </w:num>
  <w:num w:numId="31" w16cid:durableId="1165559739">
    <w:abstractNumId w:val="3"/>
  </w:num>
  <w:num w:numId="32" w16cid:durableId="1589071708">
    <w:abstractNumId w:val="15"/>
  </w:num>
  <w:num w:numId="33" w16cid:durableId="1728528278">
    <w:abstractNumId w:val="36"/>
  </w:num>
  <w:num w:numId="34" w16cid:durableId="1123811701">
    <w:abstractNumId w:val="16"/>
  </w:num>
  <w:num w:numId="35" w16cid:durableId="1518305004">
    <w:abstractNumId w:val="33"/>
  </w:num>
  <w:num w:numId="36" w16cid:durableId="1668165731">
    <w:abstractNumId w:val="0"/>
  </w:num>
  <w:num w:numId="37" w16cid:durableId="1124150580">
    <w:abstractNumId w:val="31"/>
  </w:num>
  <w:num w:numId="38" w16cid:durableId="967125344">
    <w:abstractNumId w:val="5"/>
  </w:num>
  <w:num w:numId="39" w16cid:durableId="2146582866">
    <w:abstractNumId w:val="12"/>
  </w:num>
  <w:num w:numId="40" w16cid:durableId="345206697">
    <w:abstractNumId w:val="37"/>
  </w:num>
  <w:num w:numId="41" w16cid:durableId="1586184347">
    <w:abstractNumId w:val="38"/>
  </w:num>
  <w:num w:numId="42" w16cid:durableId="1817213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7B"/>
    <w:rsid w:val="0000271D"/>
    <w:rsid w:val="00003B29"/>
    <w:rsid w:val="00004CFE"/>
    <w:rsid w:val="0001093B"/>
    <w:rsid w:val="00011C43"/>
    <w:rsid w:val="000142F7"/>
    <w:rsid w:val="00023B5E"/>
    <w:rsid w:val="00024610"/>
    <w:rsid w:val="00027375"/>
    <w:rsid w:val="00036418"/>
    <w:rsid w:val="0004399C"/>
    <w:rsid w:val="00044B6E"/>
    <w:rsid w:val="0004733D"/>
    <w:rsid w:val="00052379"/>
    <w:rsid w:val="00053470"/>
    <w:rsid w:val="00054C9D"/>
    <w:rsid w:val="0006563A"/>
    <w:rsid w:val="00065CB2"/>
    <w:rsid w:val="000724E2"/>
    <w:rsid w:val="00075068"/>
    <w:rsid w:val="0008144C"/>
    <w:rsid w:val="00086EBC"/>
    <w:rsid w:val="000871C6"/>
    <w:rsid w:val="00090ACE"/>
    <w:rsid w:val="00093B11"/>
    <w:rsid w:val="00095601"/>
    <w:rsid w:val="000A248E"/>
    <w:rsid w:val="000C157B"/>
    <w:rsid w:val="000C23CA"/>
    <w:rsid w:val="000C329B"/>
    <w:rsid w:val="000C3852"/>
    <w:rsid w:val="000C4762"/>
    <w:rsid w:val="000C513B"/>
    <w:rsid w:val="000C6126"/>
    <w:rsid w:val="000D272D"/>
    <w:rsid w:val="000D3BFB"/>
    <w:rsid w:val="000E2A31"/>
    <w:rsid w:val="000E6635"/>
    <w:rsid w:val="000F4DC5"/>
    <w:rsid w:val="000F7DAD"/>
    <w:rsid w:val="000F7F74"/>
    <w:rsid w:val="001017DB"/>
    <w:rsid w:val="00107DBF"/>
    <w:rsid w:val="00114F0A"/>
    <w:rsid w:val="00122CE4"/>
    <w:rsid w:val="00124C4C"/>
    <w:rsid w:val="001400B1"/>
    <w:rsid w:val="00142431"/>
    <w:rsid w:val="0015551D"/>
    <w:rsid w:val="00157B22"/>
    <w:rsid w:val="001664D0"/>
    <w:rsid w:val="00166574"/>
    <w:rsid w:val="001679D4"/>
    <w:rsid w:val="00167A2A"/>
    <w:rsid w:val="001726D3"/>
    <w:rsid w:val="00175A8B"/>
    <w:rsid w:val="00176646"/>
    <w:rsid w:val="00194EEF"/>
    <w:rsid w:val="00195C07"/>
    <w:rsid w:val="00195E57"/>
    <w:rsid w:val="001B7EF0"/>
    <w:rsid w:val="001C0F7A"/>
    <w:rsid w:val="001C1B07"/>
    <w:rsid w:val="001C2E80"/>
    <w:rsid w:val="001D14AE"/>
    <w:rsid w:val="001D464B"/>
    <w:rsid w:val="001D6593"/>
    <w:rsid w:val="001E0FA6"/>
    <w:rsid w:val="001E17F6"/>
    <w:rsid w:val="002174AF"/>
    <w:rsid w:val="002207A1"/>
    <w:rsid w:val="002212FF"/>
    <w:rsid w:val="00221A73"/>
    <w:rsid w:val="00225B6E"/>
    <w:rsid w:val="00230815"/>
    <w:rsid w:val="0023429F"/>
    <w:rsid w:val="00245C9B"/>
    <w:rsid w:val="002561ED"/>
    <w:rsid w:val="002567BF"/>
    <w:rsid w:val="00262890"/>
    <w:rsid w:val="002707CF"/>
    <w:rsid w:val="00277FCE"/>
    <w:rsid w:val="00281D40"/>
    <w:rsid w:val="00283D34"/>
    <w:rsid w:val="00287A6E"/>
    <w:rsid w:val="00293544"/>
    <w:rsid w:val="002942EE"/>
    <w:rsid w:val="002965E7"/>
    <w:rsid w:val="00296E9D"/>
    <w:rsid w:val="002A306F"/>
    <w:rsid w:val="002A7D70"/>
    <w:rsid w:val="002B662F"/>
    <w:rsid w:val="002C5D5F"/>
    <w:rsid w:val="002C5DBA"/>
    <w:rsid w:val="002D245F"/>
    <w:rsid w:val="002E4E50"/>
    <w:rsid w:val="002E77C3"/>
    <w:rsid w:val="002F0393"/>
    <w:rsid w:val="002F21E6"/>
    <w:rsid w:val="002F4415"/>
    <w:rsid w:val="002F494E"/>
    <w:rsid w:val="002F53CB"/>
    <w:rsid w:val="002F6193"/>
    <w:rsid w:val="002F6751"/>
    <w:rsid w:val="002F7EAA"/>
    <w:rsid w:val="00302AC7"/>
    <w:rsid w:val="0030303A"/>
    <w:rsid w:val="00304E92"/>
    <w:rsid w:val="0030672E"/>
    <w:rsid w:val="0030706F"/>
    <w:rsid w:val="00307B73"/>
    <w:rsid w:val="0032157F"/>
    <w:rsid w:val="00321652"/>
    <w:rsid w:val="00321FAC"/>
    <w:rsid w:val="00326B38"/>
    <w:rsid w:val="003329D0"/>
    <w:rsid w:val="00334F01"/>
    <w:rsid w:val="003376C8"/>
    <w:rsid w:val="00340778"/>
    <w:rsid w:val="00344F46"/>
    <w:rsid w:val="00347756"/>
    <w:rsid w:val="00347CF0"/>
    <w:rsid w:val="00347E77"/>
    <w:rsid w:val="00355E4F"/>
    <w:rsid w:val="0036294D"/>
    <w:rsid w:val="0036628F"/>
    <w:rsid w:val="00366BB7"/>
    <w:rsid w:val="00381AFE"/>
    <w:rsid w:val="0038685D"/>
    <w:rsid w:val="003878DF"/>
    <w:rsid w:val="003941E4"/>
    <w:rsid w:val="003A24E7"/>
    <w:rsid w:val="003B05AF"/>
    <w:rsid w:val="003B40C8"/>
    <w:rsid w:val="003B5836"/>
    <w:rsid w:val="003B7DCA"/>
    <w:rsid w:val="003D2FCD"/>
    <w:rsid w:val="003D3D29"/>
    <w:rsid w:val="003E5D68"/>
    <w:rsid w:val="003E67E6"/>
    <w:rsid w:val="003F0FD8"/>
    <w:rsid w:val="003F3B58"/>
    <w:rsid w:val="003F42D7"/>
    <w:rsid w:val="00437878"/>
    <w:rsid w:val="004420F1"/>
    <w:rsid w:val="004459AC"/>
    <w:rsid w:val="00451D60"/>
    <w:rsid w:val="00461A49"/>
    <w:rsid w:val="00465566"/>
    <w:rsid w:val="00470B4A"/>
    <w:rsid w:val="0047271B"/>
    <w:rsid w:val="00473203"/>
    <w:rsid w:val="00476846"/>
    <w:rsid w:val="004816A0"/>
    <w:rsid w:val="00486156"/>
    <w:rsid w:val="004A4AA6"/>
    <w:rsid w:val="004A5C23"/>
    <w:rsid w:val="004B0EEB"/>
    <w:rsid w:val="004B144B"/>
    <w:rsid w:val="004B69CA"/>
    <w:rsid w:val="004B72F9"/>
    <w:rsid w:val="004C4830"/>
    <w:rsid w:val="004C5FF3"/>
    <w:rsid w:val="004D227E"/>
    <w:rsid w:val="004D3226"/>
    <w:rsid w:val="00501032"/>
    <w:rsid w:val="00501541"/>
    <w:rsid w:val="005115F1"/>
    <w:rsid w:val="00513147"/>
    <w:rsid w:val="005158A7"/>
    <w:rsid w:val="005170D5"/>
    <w:rsid w:val="00521CEE"/>
    <w:rsid w:val="005257E4"/>
    <w:rsid w:val="00532754"/>
    <w:rsid w:val="00534758"/>
    <w:rsid w:val="005412A3"/>
    <w:rsid w:val="005502D3"/>
    <w:rsid w:val="00560AA8"/>
    <w:rsid w:val="0057017B"/>
    <w:rsid w:val="00570CFE"/>
    <w:rsid w:val="005753AA"/>
    <w:rsid w:val="00575F09"/>
    <w:rsid w:val="005769D9"/>
    <w:rsid w:val="00580805"/>
    <w:rsid w:val="00580D3E"/>
    <w:rsid w:val="005817CB"/>
    <w:rsid w:val="00590728"/>
    <w:rsid w:val="005911AF"/>
    <w:rsid w:val="00592139"/>
    <w:rsid w:val="00595A99"/>
    <w:rsid w:val="005A5414"/>
    <w:rsid w:val="005A6EC8"/>
    <w:rsid w:val="005B2257"/>
    <w:rsid w:val="005B40F5"/>
    <w:rsid w:val="005C2D2D"/>
    <w:rsid w:val="005C5DDE"/>
    <w:rsid w:val="005E4209"/>
    <w:rsid w:val="005E5402"/>
    <w:rsid w:val="005F43BF"/>
    <w:rsid w:val="005F637B"/>
    <w:rsid w:val="00624514"/>
    <w:rsid w:val="00627B5F"/>
    <w:rsid w:val="006337DA"/>
    <w:rsid w:val="00642852"/>
    <w:rsid w:val="006435BD"/>
    <w:rsid w:val="00645EF3"/>
    <w:rsid w:val="00651668"/>
    <w:rsid w:val="00657661"/>
    <w:rsid w:val="006606F2"/>
    <w:rsid w:val="00662226"/>
    <w:rsid w:val="00662881"/>
    <w:rsid w:val="006645C1"/>
    <w:rsid w:val="00681769"/>
    <w:rsid w:val="006849A8"/>
    <w:rsid w:val="006A1FA3"/>
    <w:rsid w:val="006A53F3"/>
    <w:rsid w:val="006A5F3B"/>
    <w:rsid w:val="006A7937"/>
    <w:rsid w:val="006B1A98"/>
    <w:rsid w:val="006B310E"/>
    <w:rsid w:val="006C5FE8"/>
    <w:rsid w:val="006C6805"/>
    <w:rsid w:val="006D4B95"/>
    <w:rsid w:val="006E200D"/>
    <w:rsid w:val="006E3B11"/>
    <w:rsid w:val="006E4474"/>
    <w:rsid w:val="006F0E27"/>
    <w:rsid w:val="006F38E2"/>
    <w:rsid w:val="0070069C"/>
    <w:rsid w:val="0070192C"/>
    <w:rsid w:val="0070383D"/>
    <w:rsid w:val="007074CC"/>
    <w:rsid w:val="00712590"/>
    <w:rsid w:val="00722BA5"/>
    <w:rsid w:val="00733988"/>
    <w:rsid w:val="00741799"/>
    <w:rsid w:val="007439E8"/>
    <w:rsid w:val="007559F0"/>
    <w:rsid w:val="0075769D"/>
    <w:rsid w:val="0075794F"/>
    <w:rsid w:val="00757A9B"/>
    <w:rsid w:val="007941D9"/>
    <w:rsid w:val="0079619A"/>
    <w:rsid w:val="00797A1A"/>
    <w:rsid w:val="007B423F"/>
    <w:rsid w:val="007B700A"/>
    <w:rsid w:val="007C592A"/>
    <w:rsid w:val="007C7309"/>
    <w:rsid w:val="007D1EFB"/>
    <w:rsid w:val="007E1848"/>
    <w:rsid w:val="007F196A"/>
    <w:rsid w:val="007F1D7B"/>
    <w:rsid w:val="007F1FAC"/>
    <w:rsid w:val="008005DD"/>
    <w:rsid w:val="008019CD"/>
    <w:rsid w:val="00802476"/>
    <w:rsid w:val="008027A8"/>
    <w:rsid w:val="00803643"/>
    <w:rsid w:val="00811558"/>
    <w:rsid w:val="00813B25"/>
    <w:rsid w:val="0081442B"/>
    <w:rsid w:val="00823DF2"/>
    <w:rsid w:val="008254D3"/>
    <w:rsid w:val="008277ED"/>
    <w:rsid w:val="00832C8E"/>
    <w:rsid w:val="00833922"/>
    <w:rsid w:val="008517ED"/>
    <w:rsid w:val="00852596"/>
    <w:rsid w:val="00865F07"/>
    <w:rsid w:val="00867BE7"/>
    <w:rsid w:val="00867E1C"/>
    <w:rsid w:val="00875738"/>
    <w:rsid w:val="008839B8"/>
    <w:rsid w:val="00887B01"/>
    <w:rsid w:val="008A2225"/>
    <w:rsid w:val="008A2640"/>
    <w:rsid w:val="008A74E7"/>
    <w:rsid w:val="008B0DB8"/>
    <w:rsid w:val="008B72F2"/>
    <w:rsid w:val="008C20D0"/>
    <w:rsid w:val="008D6E2C"/>
    <w:rsid w:val="008F2E20"/>
    <w:rsid w:val="00905377"/>
    <w:rsid w:val="0092553F"/>
    <w:rsid w:val="009313A6"/>
    <w:rsid w:val="00940E17"/>
    <w:rsid w:val="009412E6"/>
    <w:rsid w:val="0095062D"/>
    <w:rsid w:val="00950977"/>
    <w:rsid w:val="009530E9"/>
    <w:rsid w:val="0095468E"/>
    <w:rsid w:val="0095677A"/>
    <w:rsid w:val="00974536"/>
    <w:rsid w:val="00984865"/>
    <w:rsid w:val="0098525B"/>
    <w:rsid w:val="00995668"/>
    <w:rsid w:val="0099668B"/>
    <w:rsid w:val="009B262D"/>
    <w:rsid w:val="009C06D8"/>
    <w:rsid w:val="009C6103"/>
    <w:rsid w:val="009D3232"/>
    <w:rsid w:val="009E1453"/>
    <w:rsid w:val="009E2964"/>
    <w:rsid w:val="009E4CBF"/>
    <w:rsid w:val="009F0709"/>
    <w:rsid w:val="009F136F"/>
    <w:rsid w:val="00A136FE"/>
    <w:rsid w:val="00A20F2F"/>
    <w:rsid w:val="00A21893"/>
    <w:rsid w:val="00A21B8D"/>
    <w:rsid w:val="00A30C57"/>
    <w:rsid w:val="00A3303E"/>
    <w:rsid w:val="00A52C8C"/>
    <w:rsid w:val="00A637A0"/>
    <w:rsid w:val="00A67A59"/>
    <w:rsid w:val="00A71097"/>
    <w:rsid w:val="00A80126"/>
    <w:rsid w:val="00A819C0"/>
    <w:rsid w:val="00A82B80"/>
    <w:rsid w:val="00A82DB7"/>
    <w:rsid w:val="00A94D20"/>
    <w:rsid w:val="00A9572B"/>
    <w:rsid w:val="00AA0134"/>
    <w:rsid w:val="00AA041C"/>
    <w:rsid w:val="00AA38A5"/>
    <w:rsid w:val="00AA707E"/>
    <w:rsid w:val="00AB213E"/>
    <w:rsid w:val="00AB28E8"/>
    <w:rsid w:val="00AB554D"/>
    <w:rsid w:val="00AB64B5"/>
    <w:rsid w:val="00AB66AF"/>
    <w:rsid w:val="00AC6167"/>
    <w:rsid w:val="00AD2FBF"/>
    <w:rsid w:val="00AE5964"/>
    <w:rsid w:val="00AF4FD6"/>
    <w:rsid w:val="00AF6D62"/>
    <w:rsid w:val="00B01FF5"/>
    <w:rsid w:val="00B1159C"/>
    <w:rsid w:val="00B2273C"/>
    <w:rsid w:val="00B25666"/>
    <w:rsid w:val="00B262C4"/>
    <w:rsid w:val="00B32BF6"/>
    <w:rsid w:val="00B36D75"/>
    <w:rsid w:val="00B417E2"/>
    <w:rsid w:val="00B41F63"/>
    <w:rsid w:val="00B5222F"/>
    <w:rsid w:val="00B54812"/>
    <w:rsid w:val="00B578BA"/>
    <w:rsid w:val="00B61F22"/>
    <w:rsid w:val="00B6385E"/>
    <w:rsid w:val="00B70C52"/>
    <w:rsid w:val="00B71D33"/>
    <w:rsid w:val="00B72A95"/>
    <w:rsid w:val="00B754CF"/>
    <w:rsid w:val="00B941E2"/>
    <w:rsid w:val="00BA558E"/>
    <w:rsid w:val="00BB3575"/>
    <w:rsid w:val="00BB3864"/>
    <w:rsid w:val="00BB5F72"/>
    <w:rsid w:val="00BB6606"/>
    <w:rsid w:val="00BB7140"/>
    <w:rsid w:val="00BC2D08"/>
    <w:rsid w:val="00BC5BCD"/>
    <w:rsid w:val="00BD06A4"/>
    <w:rsid w:val="00BD23B8"/>
    <w:rsid w:val="00BE53B0"/>
    <w:rsid w:val="00BE744C"/>
    <w:rsid w:val="00BF1C15"/>
    <w:rsid w:val="00C1253E"/>
    <w:rsid w:val="00C173F8"/>
    <w:rsid w:val="00C21C63"/>
    <w:rsid w:val="00C2476C"/>
    <w:rsid w:val="00C32487"/>
    <w:rsid w:val="00C50FD7"/>
    <w:rsid w:val="00C528C8"/>
    <w:rsid w:val="00C536EA"/>
    <w:rsid w:val="00C5416E"/>
    <w:rsid w:val="00C61E7A"/>
    <w:rsid w:val="00C97C77"/>
    <w:rsid w:val="00CA1FD2"/>
    <w:rsid w:val="00CB43FB"/>
    <w:rsid w:val="00CB6613"/>
    <w:rsid w:val="00CD3FC2"/>
    <w:rsid w:val="00CE12CD"/>
    <w:rsid w:val="00CE17BE"/>
    <w:rsid w:val="00CE4271"/>
    <w:rsid w:val="00CE6EFD"/>
    <w:rsid w:val="00CF6B0E"/>
    <w:rsid w:val="00D027E1"/>
    <w:rsid w:val="00D02A2C"/>
    <w:rsid w:val="00D1093B"/>
    <w:rsid w:val="00D10A78"/>
    <w:rsid w:val="00D14386"/>
    <w:rsid w:val="00D207B2"/>
    <w:rsid w:val="00D426B3"/>
    <w:rsid w:val="00D4332E"/>
    <w:rsid w:val="00D43578"/>
    <w:rsid w:val="00D46059"/>
    <w:rsid w:val="00D5058D"/>
    <w:rsid w:val="00D61BF8"/>
    <w:rsid w:val="00D80B55"/>
    <w:rsid w:val="00D8331A"/>
    <w:rsid w:val="00D87A87"/>
    <w:rsid w:val="00D92E33"/>
    <w:rsid w:val="00DB3E10"/>
    <w:rsid w:val="00DB4495"/>
    <w:rsid w:val="00DB59D8"/>
    <w:rsid w:val="00DC7685"/>
    <w:rsid w:val="00DD1FFA"/>
    <w:rsid w:val="00DE2320"/>
    <w:rsid w:val="00DE4D6F"/>
    <w:rsid w:val="00DE4F26"/>
    <w:rsid w:val="00DE6440"/>
    <w:rsid w:val="00DE6857"/>
    <w:rsid w:val="00DF3453"/>
    <w:rsid w:val="00DF7BF2"/>
    <w:rsid w:val="00E017FD"/>
    <w:rsid w:val="00E1254C"/>
    <w:rsid w:val="00E2250D"/>
    <w:rsid w:val="00E22688"/>
    <w:rsid w:val="00E23D99"/>
    <w:rsid w:val="00E25B03"/>
    <w:rsid w:val="00E312B2"/>
    <w:rsid w:val="00E371B2"/>
    <w:rsid w:val="00E442E6"/>
    <w:rsid w:val="00E46D09"/>
    <w:rsid w:val="00E5731F"/>
    <w:rsid w:val="00E71FD4"/>
    <w:rsid w:val="00E725B5"/>
    <w:rsid w:val="00E75B32"/>
    <w:rsid w:val="00E90E8D"/>
    <w:rsid w:val="00E91236"/>
    <w:rsid w:val="00E96872"/>
    <w:rsid w:val="00EA2129"/>
    <w:rsid w:val="00EA2E34"/>
    <w:rsid w:val="00EC37EC"/>
    <w:rsid w:val="00EC61D3"/>
    <w:rsid w:val="00EE61FD"/>
    <w:rsid w:val="00EE6A70"/>
    <w:rsid w:val="00EF6D4C"/>
    <w:rsid w:val="00F01E93"/>
    <w:rsid w:val="00F06386"/>
    <w:rsid w:val="00F27A9F"/>
    <w:rsid w:val="00F3224D"/>
    <w:rsid w:val="00F4291D"/>
    <w:rsid w:val="00F4414E"/>
    <w:rsid w:val="00F540EA"/>
    <w:rsid w:val="00F66AA2"/>
    <w:rsid w:val="00F73C69"/>
    <w:rsid w:val="00F87A30"/>
    <w:rsid w:val="00F912C5"/>
    <w:rsid w:val="00F94E22"/>
    <w:rsid w:val="00F95939"/>
    <w:rsid w:val="00F96732"/>
    <w:rsid w:val="00F9688C"/>
    <w:rsid w:val="00FA249D"/>
    <w:rsid w:val="00FB04FF"/>
    <w:rsid w:val="00FD2D30"/>
    <w:rsid w:val="00FE0B03"/>
    <w:rsid w:val="00FF339E"/>
    <w:rsid w:val="0FE347C4"/>
    <w:rsid w:val="15A01AA9"/>
    <w:rsid w:val="1E3F0253"/>
    <w:rsid w:val="2284D9A5"/>
    <w:rsid w:val="364EDF55"/>
    <w:rsid w:val="39BB3F94"/>
    <w:rsid w:val="4082B4D8"/>
    <w:rsid w:val="52A59314"/>
    <w:rsid w:val="645919C0"/>
    <w:rsid w:val="7649A5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FFFB"/>
  <w15:chartTrackingRefBased/>
  <w15:docId w15:val="{75729330-5104-4CC9-AAF3-2906C63D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uiPriority w:val="34"/>
    <w:qFormat/>
    <w:rsid w:val="0057017B"/>
    <w:pPr>
      <w:ind w:left="720"/>
      <w:contextualSpacing/>
    </w:pPr>
  </w:style>
  <w:style w:type="paragraph" w:customStyle="1" w:styleId="Default">
    <w:name w:val="Default"/>
    <w:rsid w:val="0057017B"/>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BD0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6A4"/>
  </w:style>
  <w:style w:type="paragraph" w:styleId="Footer">
    <w:name w:val="footer"/>
    <w:basedOn w:val="Normal"/>
    <w:link w:val="FooterChar"/>
    <w:uiPriority w:val="99"/>
    <w:unhideWhenUsed/>
    <w:rsid w:val="00BD0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6A4"/>
  </w:style>
  <w:style w:type="paragraph" w:customStyle="1" w:styleId="Recitals">
    <w:name w:val="Recitals"/>
    <w:basedOn w:val="Normal"/>
    <w:rsid w:val="002965E7"/>
    <w:pPr>
      <w:numPr>
        <w:numId w:val="10"/>
      </w:numPr>
      <w:spacing w:after="140" w:line="290" w:lineRule="auto"/>
      <w:jc w:val="both"/>
    </w:pPr>
    <w:rPr>
      <w:rFonts w:ascii="Arial" w:eastAsia="Times New Roman" w:hAnsi="Arial" w:cs="Times New Roman"/>
      <w:kern w:val="20"/>
      <w:sz w:val="20"/>
      <w:szCs w:val="24"/>
      <w:lang w:eastAsia="en-GB"/>
    </w:rPr>
  </w:style>
  <w:style w:type="paragraph" w:customStyle="1" w:styleId="Body1">
    <w:name w:val="Body 1"/>
    <w:basedOn w:val="Normal"/>
    <w:rsid w:val="00EC37EC"/>
    <w:pPr>
      <w:spacing w:after="140" w:line="290" w:lineRule="auto"/>
      <w:ind w:left="680"/>
      <w:jc w:val="both"/>
    </w:pPr>
    <w:rPr>
      <w:rFonts w:ascii="Arial" w:eastAsia="Times New Roman" w:hAnsi="Arial" w:cs="Times New Roman"/>
      <w:kern w:val="20"/>
      <w:sz w:val="20"/>
      <w:szCs w:val="24"/>
      <w:lang w:eastAsia="en-GB"/>
    </w:rPr>
  </w:style>
  <w:style w:type="paragraph" w:customStyle="1" w:styleId="bullet6">
    <w:name w:val="bullet 6"/>
    <w:basedOn w:val="Normal"/>
    <w:rsid w:val="00EC37EC"/>
    <w:pPr>
      <w:numPr>
        <w:numId w:val="13"/>
      </w:numPr>
      <w:spacing w:after="140" w:line="290" w:lineRule="auto"/>
      <w:jc w:val="both"/>
      <w:outlineLvl w:val="5"/>
    </w:pPr>
    <w:rPr>
      <w:rFonts w:ascii="Arial" w:eastAsia="Times New Roman" w:hAnsi="Arial" w:cs="Times New Roman"/>
      <w:kern w:val="20"/>
      <w:sz w:val="20"/>
      <w:szCs w:val="24"/>
      <w:lang w:eastAsia="en-GB"/>
    </w:rPr>
  </w:style>
  <w:style w:type="paragraph" w:customStyle="1" w:styleId="roman2">
    <w:name w:val="roman 2"/>
    <w:basedOn w:val="Normal"/>
    <w:rsid w:val="00EC37EC"/>
    <w:pPr>
      <w:numPr>
        <w:numId w:val="14"/>
      </w:numPr>
      <w:spacing w:after="140" w:line="290" w:lineRule="auto"/>
      <w:jc w:val="both"/>
      <w:outlineLvl w:val="1"/>
    </w:pPr>
    <w:rPr>
      <w:rFonts w:ascii="Arial" w:eastAsia="Times New Roman" w:hAnsi="Arial" w:cs="Times New Roman"/>
      <w:kern w:val="20"/>
      <w:sz w:val="20"/>
      <w:szCs w:val="20"/>
      <w:lang w:eastAsia="en-GB"/>
    </w:rPr>
  </w:style>
  <w:style w:type="paragraph" w:styleId="FootnoteText">
    <w:name w:val="footnote text"/>
    <w:basedOn w:val="Normal"/>
    <w:link w:val="FootnoteTextChar"/>
    <w:uiPriority w:val="99"/>
    <w:semiHidden/>
    <w:unhideWhenUsed/>
    <w:rsid w:val="00BD2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B8"/>
    <w:rPr>
      <w:sz w:val="20"/>
      <w:szCs w:val="20"/>
    </w:rPr>
  </w:style>
  <w:style w:type="character" w:styleId="FootnoteReference">
    <w:name w:val="footnote reference"/>
    <w:basedOn w:val="DefaultParagraphFont"/>
    <w:uiPriority w:val="99"/>
    <w:semiHidden/>
    <w:unhideWhenUsed/>
    <w:rsid w:val="00BD23B8"/>
    <w:rPr>
      <w:vertAlign w:val="superscript"/>
    </w:rPr>
  </w:style>
  <w:style w:type="paragraph" w:styleId="BalloonText">
    <w:name w:val="Balloon Text"/>
    <w:basedOn w:val="Normal"/>
    <w:link w:val="BalloonTextChar"/>
    <w:uiPriority w:val="99"/>
    <w:semiHidden/>
    <w:unhideWhenUsed/>
    <w:rsid w:val="0066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F2"/>
    <w:rPr>
      <w:rFonts w:ascii="Segoe UI" w:hAnsi="Segoe UI" w:cs="Segoe UI"/>
      <w:sz w:val="18"/>
      <w:szCs w:val="18"/>
    </w:rPr>
  </w:style>
  <w:style w:type="character" w:customStyle="1" w:styleId="normaltextrun">
    <w:name w:val="normaltextrun"/>
    <w:basedOn w:val="DefaultParagraphFont"/>
    <w:rsid w:val="0030706F"/>
  </w:style>
  <w:style w:type="character" w:customStyle="1" w:styleId="eop">
    <w:name w:val="eop"/>
    <w:basedOn w:val="DefaultParagraphFont"/>
    <w:rsid w:val="0030706F"/>
  </w:style>
  <w:style w:type="paragraph" w:customStyle="1" w:styleId="Level1">
    <w:name w:val="Level 1"/>
    <w:basedOn w:val="Normal"/>
    <w:next w:val="Body1"/>
    <w:rsid w:val="00887B01"/>
    <w:pPr>
      <w:keepNext/>
      <w:numPr>
        <w:numId w:val="19"/>
      </w:numPr>
      <w:spacing w:before="280" w:after="140" w:line="290" w:lineRule="auto"/>
      <w:jc w:val="both"/>
      <w:outlineLvl w:val="0"/>
    </w:pPr>
    <w:rPr>
      <w:rFonts w:ascii="Arial" w:eastAsia="Times New Roman" w:hAnsi="Arial" w:cs="Times New Roman"/>
      <w:b/>
      <w:bCs/>
      <w:kern w:val="20"/>
      <w:szCs w:val="32"/>
      <w:lang w:eastAsia="en-GB"/>
    </w:rPr>
  </w:style>
  <w:style w:type="paragraph" w:customStyle="1" w:styleId="Level2">
    <w:name w:val="Level 2"/>
    <w:basedOn w:val="Normal"/>
    <w:rsid w:val="00887B01"/>
    <w:pPr>
      <w:numPr>
        <w:ilvl w:val="1"/>
        <w:numId w:val="19"/>
      </w:numPr>
      <w:spacing w:after="140" w:line="290" w:lineRule="auto"/>
      <w:jc w:val="both"/>
      <w:outlineLvl w:val="1"/>
    </w:pPr>
    <w:rPr>
      <w:rFonts w:ascii="Arial" w:eastAsia="Times New Roman" w:hAnsi="Arial" w:cs="Times New Roman"/>
      <w:kern w:val="20"/>
      <w:sz w:val="20"/>
      <w:szCs w:val="28"/>
      <w:lang w:eastAsia="en-GB"/>
    </w:rPr>
  </w:style>
  <w:style w:type="paragraph" w:customStyle="1" w:styleId="Level3">
    <w:name w:val="Level 3"/>
    <w:basedOn w:val="Normal"/>
    <w:rsid w:val="00887B01"/>
    <w:pPr>
      <w:numPr>
        <w:ilvl w:val="2"/>
        <w:numId w:val="19"/>
      </w:numPr>
      <w:tabs>
        <w:tab w:val="clear" w:pos="1361"/>
      </w:tabs>
      <w:spacing w:after="140" w:line="290" w:lineRule="auto"/>
      <w:ind w:hanging="680"/>
      <w:jc w:val="both"/>
      <w:outlineLvl w:val="2"/>
    </w:pPr>
    <w:rPr>
      <w:rFonts w:ascii="Arial" w:eastAsia="Times New Roman" w:hAnsi="Arial" w:cs="Times New Roman"/>
      <w:kern w:val="20"/>
      <w:sz w:val="20"/>
      <w:szCs w:val="28"/>
      <w:lang w:eastAsia="en-GB"/>
    </w:rPr>
  </w:style>
  <w:style w:type="paragraph" w:customStyle="1" w:styleId="Level4">
    <w:name w:val="Level 4"/>
    <w:basedOn w:val="Normal"/>
    <w:rsid w:val="00887B01"/>
    <w:pPr>
      <w:numPr>
        <w:ilvl w:val="3"/>
        <w:numId w:val="19"/>
      </w:numPr>
      <w:tabs>
        <w:tab w:val="clear" w:pos="2041"/>
      </w:tabs>
      <w:spacing w:after="140" w:line="290" w:lineRule="auto"/>
      <w:jc w:val="both"/>
      <w:outlineLvl w:val="3"/>
    </w:pPr>
    <w:rPr>
      <w:rFonts w:ascii="Arial" w:eastAsia="Times New Roman" w:hAnsi="Arial" w:cs="Times New Roman"/>
      <w:kern w:val="20"/>
      <w:sz w:val="20"/>
      <w:szCs w:val="24"/>
      <w:lang w:eastAsia="en-GB"/>
    </w:rPr>
  </w:style>
  <w:style w:type="paragraph" w:customStyle="1" w:styleId="Level5">
    <w:name w:val="Level 5"/>
    <w:basedOn w:val="Normal"/>
    <w:rsid w:val="00887B01"/>
    <w:pPr>
      <w:numPr>
        <w:ilvl w:val="4"/>
        <w:numId w:val="19"/>
      </w:numPr>
      <w:tabs>
        <w:tab w:val="clear" w:pos="2608"/>
      </w:tabs>
      <w:spacing w:after="140" w:line="290" w:lineRule="auto"/>
      <w:jc w:val="both"/>
      <w:outlineLvl w:val="4"/>
    </w:pPr>
    <w:rPr>
      <w:rFonts w:ascii="Arial" w:eastAsia="Times New Roman" w:hAnsi="Arial" w:cs="Times New Roman"/>
      <w:kern w:val="20"/>
      <w:sz w:val="20"/>
      <w:szCs w:val="24"/>
      <w:lang w:eastAsia="en-GB"/>
    </w:rPr>
  </w:style>
  <w:style w:type="paragraph" w:customStyle="1" w:styleId="Level6">
    <w:name w:val="Level 6"/>
    <w:basedOn w:val="Normal"/>
    <w:rsid w:val="00887B01"/>
    <w:pPr>
      <w:numPr>
        <w:ilvl w:val="5"/>
        <w:numId w:val="19"/>
      </w:numPr>
      <w:tabs>
        <w:tab w:val="clear" w:pos="3288"/>
      </w:tabs>
      <w:spacing w:after="140" w:line="290" w:lineRule="auto"/>
      <w:jc w:val="both"/>
      <w:outlineLvl w:val="5"/>
    </w:pPr>
    <w:rPr>
      <w:rFonts w:ascii="Arial" w:eastAsia="Times New Roman" w:hAnsi="Arial" w:cs="Times New Roman"/>
      <w:kern w:val="20"/>
      <w:sz w:val="20"/>
      <w:szCs w:val="24"/>
      <w:lang w:eastAsia="en-GB"/>
    </w:rPr>
  </w:style>
  <w:style w:type="paragraph" w:customStyle="1" w:styleId="Level7">
    <w:name w:val="Level 7"/>
    <w:basedOn w:val="Normal"/>
    <w:rsid w:val="00887B01"/>
    <w:pPr>
      <w:numPr>
        <w:ilvl w:val="6"/>
        <w:numId w:val="19"/>
      </w:numPr>
      <w:spacing w:after="140" w:line="290" w:lineRule="auto"/>
      <w:jc w:val="both"/>
      <w:outlineLvl w:val="6"/>
    </w:pPr>
    <w:rPr>
      <w:rFonts w:ascii="Arial" w:eastAsia="Times New Roman" w:hAnsi="Arial" w:cs="Times New Roman"/>
      <w:kern w:val="20"/>
      <w:sz w:val="20"/>
      <w:szCs w:val="24"/>
      <w:lang w:eastAsia="en-GB"/>
    </w:rPr>
  </w:style>
  <w:style w:type="paragraph" w:customStyle="1" w:styleId="Level8">
    <w:name w:val="Level 8"/>
    <w:basedOn w:val="Normal"/>
    <w:rsid w:val="00887B01"/>
    <w:pPr>
      <w:numPr>
        <w:ilvl w:val="7"/>
        <w:numId w:val="19"/>
      </w:numPr>
      <w:spacing w:after="140" w:line="290" w:lineRule="auto"/>
      <w:jc w:val="both"/>
      <w:outlineLvl w:val="7"/>
    </w:pPr>
    <w:rPr>
      <w:rFonts w:ascii="Arial" w:eastAsia="Times New Roman" w:hAnsi="Arial" w:cs="Times New Roman"/>
      <w:kern w:val="20"/>
      <w:sz w:val="20"/>
      <w:szCs w:val="24"/>
      <w:lang w:eastAsia="en-GB"/>
    </w:rPr>
  </w:style>
  <w:style w:type="paragraph" w:customStyle="1" w:styleId="Level9">
    <w:name w:val="Level 9"/>
    <w:basedOn w:val="Normal"/>
    <w:rsid w:val="00887B01"/>
    <w:pPr>
      <w:numPr>
        <w:ilvl w:val="8"/>
        <w:numId w:val="19"/>
      </w:numPr>
      <w:spacing w:after="140" w:line="290" w:lineRule="auto"/>
      <w:jc w:val="both"/>
      <w:outlineLvl w:val="8"/>
    </w:pPr>
    <w:rPr>
      <w:rFonts w:ascii="Arial" w:eastAsia="Times New Roman" w:hAnsi="Arial" w:cs="Times New Roman"/>
      <w:kern w:val="20"/>
      <w:sz w:val="20"/>
      <w:szCs w:val="24"/>
      <w:lang w:eastAsia="en-GB"/>
    </w:rPr>
  </w:style>
  <w:style w:type="paragraph" w:customStyle="1" w:styleId="dashbullet5">
    <w:name w:val="dash bullet 5"/>
    <w:basedOn w:val="Normal"/>
    <w:rsid w:val="00887B01"/>
    <w:pPr>
      <w:numPr>
        <w:numId w:val="18"/>
      </w:numPr>
      <w:spacing w:after="140" w:line="290" w:lineRule="auto"/>
      <w:jc w:val="both"/>
      <w:outlineLvl w:val="4"/>
    </w:pPr>
    <w:rPr>
      <w:rFonts w:ascii="Arial" w:eastAsia="Times New Roman" w:hAnsi="Arial" w:cs="Times New Roman"/>
      <w:kern w:val="20"/>
      <w:sz w:val="20"/>
      <w:szCs w:val="24"/>
      <w:lang w:eastAsia="en-GB"/>
    </w:rPr>
  </w:style>
  <w:style w:type="character" w:styleId="CommentReference">
    <w:name w:val="annotation reference"/>
    <w:basedOn w:val="DefaultParagraphFont"/>
    <w:uiPriority w:val="99"/>
    <w:semiHidden/>
    <w:unhideWhenUsed/>
    <w:rsid w:val="006C6805"/>
    <w:rPr>
      <w:sz w:val="16"/>
      <w:szCs w:val="16"/>
    </w:rPr>
  </w:style>
  <w:style w:type="paragraph" w:styleId="CommentText">
    <w:name w:val="annotation text"/>
    <w:basedOn w:val="Normal"/>
    <w:link w:val="CommentTextChar"/>
    <w:uiPriority w:val="99"/>
    <w:unhideWhenUsed/>
    <w:rsid w:val="006C6805"/>
    <w:pPr>
      <w:spacing w:line="240" w:lineRule="auto"/>
    </w:pPr>
    <w:rPr>
      <w:sz w:val="20"/>
      <w:szCs w:val="20"/>
    </w:rPr>
  </w:style>
  <w:style w:type="character" w:customStyle="1" w:styleId="CommentTextChar">
    <w:name w:val="Comment Text Char"/>
    <w:basedOn w:val="DefaultParagraphFont"/>
    <w:link w:val="CommentText"/>
    <w:uiPriority w:val="99"/>
    <w:rsid w:val="006C6805"/>
    <w:rPr>
      <w:sz w:val="20"/>
      <w:szCs w:val="20"/>
    </w:rPr>
  </w:style>
  <w:style w:type="paragraph" w:styleId="CommentSubject">
    <w:name w:val="annotation subject"/>
    <w:basedOn w:val="CommentText"/>
    <w:next w:val="CommentText"/>
    <w:link w:val="CommentSubjectChar"/>
    <w:uiPriority w:val="99"/>
    <w:semiHidden/>
    <w:unhideWhenUsed/>
    <w:rsid w:val="006C6805"/>
    <w:rPr>
      <w:b/>
      <w:bCs/>
    </w:rPr>
  </w:style>
  <w:style w:type="character" w:customStyle="1" w:styleId="CommentSubjectChar">
    <w:name w:val="Comment Subject Char"/>
    <w:basedOn w:val="CommentTextChar"/>
    <w:link w:val="CommentSubject"/>
    <w:uiPriority w:val="99"/>
    <w:semiHidden/>
    <w:rsid w:val="006C6805"/>
    <w:rPr>
      <w:b/>
      <w:bCs/>
      <w:sz w:val="20"/>
      <w:szCs w:val="20"/>
    </w:rPr>
  </w:style>
  <w:style w:type="character" w:customStyle="1" w:styleId="findhit">
    <w:name w:val="findhit"/>
    <w:basedOn w:val="DefaultParagraphFont"/>
    <w:rsid w:val="002B662F"/>
  </w:style>
  <w:style w:type="character" w:customStyle="1" w:styleId="superscript">
    <w:name w:val="superscript"/>
    <w:basedOn w:val="DefaultParagraphFont"/>
    <w:rsid w:val="002B662F"/>
  </w:style>
  <w:style w:type="paragraph" w:styleId="Revision">
    <w:name w:val="Revision"/>
    <w:hidden/>
    <w:uiPriority w:val="99"/>
    <w:semiHidden/>
    <w:rsid w:val="00F27A9F"/>
    <w:pPr>
      <w:spacing w:after="0" w:line="240" w:lineRule="auto"/>
    </w:pPr>
  </w:style>
  <w:style w:type="character" w:customStyle="1" w:styleId="cf01">
    <w:name w:val="cf01"/>
    <w:basedOn w:val="DefaultParagraphFont"/>
    <w:rsid w:val="00DF3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015B3679A0849AAE0FF10A306E924" ma:contentTypeVersion="17" ma:contentTypeDescription="Create a new document." ma:contentTypeScope="" ma:versionID="b6f59eef0ff5f2fae1ca2b9d3fb9e32b">
  <xsd:schema xmlns:xsd="http://www.w3.org/2001/XMLSchema" xmlns:xs="http://www.w3.org/2001/XMLSchema" xmlns:p="http://schemas.microsoft.com/office/2006/metadata/properties" xmlns:ns2="edba4285-1898-45c4-88d4-256f8cce6a49" xmlns:ns3="e3804386-5120-47d8-9bb0-15718f26f846" targetNamespace="http://schemas.microsoft.com/office/2006/metadata/properties" ma:root="true" ma:fieldsID="a264fab939f476fba96a5e6e160c5432" ns2:_="" ns3:_="">
    <xsd:import namespace="edba4285-1898-45c4-88d4-256f8cce6a49"/>
    <xsd:import namespace="e3804386-5120-47d8-9bb0-15718f26f8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4285-1898-45c4-88d4-256f8cce6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06b452-5c1d-4e09-a5b7-e1860d378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04386-5120-47d8-9bb0-15718f26f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2ee96d-f5e1-4d55-a932-fa937154c107}" ma:internalName="TaxCatchAll" ma:showField="CatchAllData" ma:web="e3804386-5120-47d8-9bb0-15718f26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ba4285-1898-45c4-88d4-256f8cce6a49">
      <Terms xmlns="http://schemas.microsoft.com/office/infopath/2007/PartnerControls"/>
    </lcf76f155ced4ddcb4097134ff3c332f>
    <TaxCatchAll xmlns="e3804386-5120-47d8-9bb0-15718f26f846" xsi:nil="true"/>
  </documentManagement>
</p:properties>
</file>

<file path=customXml/itemProps1.xml><?xml version="1.0" encoding="utf-8"?>
<ds:datastoreItem xmlns:ds="http://schemas.openxmlformats.org/officeDocument/2006/customXml" ds:itemID="{1FC62A77-5C3B-460E-8368-15FFD1AE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4285-1898-45c4-88d4-256f8cce6a49"/>
    <ds:schemaRef ds:uri="e3804386-5120-47d8-9bb0-15718f26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56037-5038-4EB6-86F0-0D6F0DD21440}">
  <ds:schemaRefs>
    <ds:schemaRef ds:uri="http://schemas.microsoft.com/sharepoint/v3/contenttype/forms"/>
  </ds:schemaRefs>
</ds:datastoreItem>
</file>

<file path=customXml/itemProps3.xml><?xml version="1.0" encoding="utf-8"?>
<ds:datastoreItem xmlns:ds="http://schemas.openxmlformats.org/officeDocument/2006/customXml" ds:itemID="{635B3710-8A8A-4D7D-B30C-285FEE0B4A65}">
  <ds:schemaRefs>
    <ds:schemaRef ds:uri="http://schemas.openxmlformats.org/officeDocument/2006/bibliography"/>
  </ds:schemaRefs>
</ds:datastoreItem>
</file>

<file path=customXml/itemProps4.xml><?xml version="1.0" encoding="utf-8"?>
<ds:datastoreItem xmlns:ds="http://schemas.openxmlformats.org/officeDocument/2006/customXml" ds:itemID="{F346C9F1-745C-47DA-AA72-067B1D7094C4}">
  <ds:schemaRefs>
    <ds:schemaRef ds:uri="http://schemas.microsoft.com/office/2006/metadata/properties"/>
    <ds:schemaRef ds:uri="http://schemas.microsoft.com/office/infopath/2007/PartnerControls"/>
    <ds:schemaRef ds:uri="edba4285-1898-45c4-88d4-256f8cce6a49"/>
    <ds:schemaRef ds:uri="e3804386-5120-47d8-9bb0-15718f26f846"/>
  </ds:schemaRefs>
</ds:datastoreItem>
</file>

<file path=docMetadata/LabelInfo.xml><?xml version="1.0" encoding="utf-8"?>
<clbl:labelList xmlns:clbl="http://schemas.microsoft.com/office/2020/mipLabelMetadata">
  <clbl:label id="{7f60ea22-988f-4e8e-af67-a4672af804ce}" enabled="1" method="Privileged" siteId="{6b3c4bb2-6f26-45af-97b3-fded2a7a60f9}"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2845</Words>
  <Characters>16222</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Whibley</dc:creator>
  <cp:keywords/>
  <dc:description/>
  <cp:lastModifiedBy>Rubia Khanom</cp:lastModifiedBy>
  <cp:revision>14</cp:revision>
  <dcterms:created xsi:type="dcterms:W3CDTF">2026-06-16T14:12:00Z</dcterms:created>
  <dcterms:modified xsi:type="dcterms:W3CDTF">2026-07-08T15:50:00Z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0x010100CBF015B3679A0849AAE0FF10A306E924</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#737373,10,Calibri</vt:lpwstr>
  </property>
  <property fmtid="{D5CDD505-2E9C-101B-9397-08002B2CF9AE}" pid="6" name="ClassificationContentMarkingHeaderText">
    <vt:lpwstr>Post Office Limited - Document Classification: PUBLIC</vt:lpwstr>
  </property>
  <property fmtid="{D5CDD505-2E9C-101B-9397-08002B2CF9AE}" pid="7" name="MSIP_Label_7f60ea22-988f-4e8e-af67-a4672af804ce_Enabled">
    <vt:lpwstr>true</vt:lpwstr>
  </property>
  <property fmtid="{D5CDD505-2E9C-101B-9397-08002B2CF9AE}" pid="8" name="MSIP_Label_7f60ea22-988f-4e8e-af67-a4672af804ce_SetDate">
    <vt:lpwstr>2024-07-30T16:59:32Z</vt:lpwstr>
  </property>
  <property fmtid="{D5CDD505-2E9C-101B-9397-08002B2CF9AE}" pid="9" name="MSIP_Label_7f60ea22-988f-4e8e-af67-a4672af804ce_Method">
    <vt:lpwstr>Privileged</vt:lpwstr>
  </property>
  <property fmtid="{D5CDD505-2E9C-101B-9397-08002B2CF9AE}" pid="10" name="MSIP_Label_7f60ea22-988f-4e8e-af67-a4672af804ce_Name">
    <vt:lpwstr>7f60ea22-988f-4e8e-af67-a4672af804ce</vt:lpwstr>
  </property>
  <property fmtid="{D5CDD505-2E9C-101B-9397-08002B2CF9AE}" pid="11" name="MSIP_Label_7f60ea22-988f-4e8e-af67-a4672af804ce_SiteId">
    <vt:lpwstr>6b3c4bb2-6f26-45af-97b3-fded2a7a60f9</vt:lpwstr>
  </property>
  <property fmtid="{D5CDD505-2E9C-101B-9397-08002B2CF9AE}" pid="12" name="MSIP_Label_7f60ea22-988f-4e8e-af67-a4672af804ce_ActionId">
    <vt:lpwstr>294772b5-4178-4b7b-a6e0-5a54aaefa87b</vt:lpwstr>
  </property>
  <property fmtid="{D5CDD505-2E9C-101B-9397-08002B2CF9AE}" pid="13" name="MSIP_Label_7f60ea22-988f-4e8e-af67-a4672af804ce_ContentBits">
    <vt:lpwstr>1</vt:lpwstr>
  </property>
</Properties>
</file>